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1456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34"/>
        <w:gridCol w:w="963"/>
        <w:gridCol w:w="1012"/>
        <w:gridCol w:w="3225"/>
        <w:gridCol w:w="4038"/>
        <w:gridCol w:w="4312"/>
        <w:gridCol w:w="383"/>
      </w:tblGrid>
      <w:tr>
        <w:trPr>
          <w:trHeight w:val="346" w:hRule="atLeast"/>
          <w:tblHeader/>
          <w:jc w:val="center"/>
        </w:trPr>
        <w:tc>
          <w:tcPr>
            <w:tcW w:w="634" w:type="dxa"/>
            <w:vMerge w:val="restart"/>
            <w:tcBorders>
              <w:tl2br w:val="nil"/>
              <w:tr2bl w:val="nil"/>
            </w:tcBorders>
            <w:shd w:val="clear" w:color="auto" w:fill="95B3D7"/>
            <w:noWrap w:val="0"/>
            <w:vAlign w:val="center"/>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lang w:bidi="ar"/>
              </w:rPr>
            </w:pPr>
            <w:r>
              <w:rPr>
                <w:rFonts w:hint="eastAsia" w:ascii="仿宋_GB2312" w:hAnsi="仿宋_GB2312" w:cs="仿宋_GB2312"/>
                <w:b/>
                <w:color w:val="000000"/>
                <w:kern w:val="0"/>
                <w:sz w:val="20"/>
                <w:szCs w:val="20"/>
                <w:lang w:bidi="ar"/>
              </w:rPr>
              <w:t>编号</w:t>
            </w:r>
          </w:p>
        </w:tc>
        <w:tc>
          <w:tcPr>
            <w:tcW w:w="1975" w:type="dxa"/>
            <w:gridSpan w:val="2"/>
            <w:tcBorders>
              <w:tl2br w:val="nil"/>
              <w:tr2bl w:val="nil"/>
            </w:tcBorders>
            <w:shd w:val="clear" w:color="auto" w:fill="95B3D7"/>
            <w:noWrap w:val="0"/>
            <w:vAlign w:val="center"/>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lang w:bidi="ar"/>
              </w:rPr>
            </w:pPr>
            <w:r>
              <w:rPr>
                <w:rFonts w:hint="eastAsia" w:ascii="仿宋_GB2312" w:hAnsi="仿宋_GB2312" w:cs="仿宋_GB2312"/>
                <w:b/>
                <w:color w:val="000000"/>
                <w:kern w:val="0"/>
                <w:sz w:val="20"/>
                <w:szCs w:val="20"/>
                <w:lang w:bidi="ar"/>
              </w:rPr>
              <w:t>隐患分类</w:t>
            </w:r>
          </w:p>
        </w:tc>
        <w:tc>
          <w:tcPr>
            <w:tcW w:w="3225" w:type="dxa"/>
            <w:vMerge w:val="restart"/>
            <w:tcBorders>
              <w:tl2br w:val="nil"/>
              <w:tr2bl w:val="nil"/>
            </w:tcBorders>
            <w:shd w:val="clear" w:color="auto" w:fill="95B3D7"/>
            <w:noWrap w:val="0"/>
            <w:vAlign w:val="center"/>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lang w:bidi="ar"/>
              </w:rPr>
            </w:pPr>
            <w:r>
              <w:rPr>
                <w:rFonts w:hint="eastAsia" w:ascii="仿宋_GB2312" w:hAnsi="仿宋_GB2312" w:cs="仿宋_GB2312"/>
                <w:b/>
                <w:color w:val="000000"/>
                <w:kern w:val="0"/>
                <w:sz w:val="20"/>
                <w:szCs w:val="20"/>
                <w:lang w:bidi="ar"/>
              </w:rPr>
              <w:t>自查内容</w:t>
            </w:r>
          </w:p>
        </w:tc>
        <w:tc>
          <w:tcPr>
            <w:tcW w:w="4038" w:type="dxa"/>
            <w:vMerge w:val="restart"/>
            <w:tcBorders>
              <w:tl2br w:val="nil"/>
              <w:tr2bl w:val="nil"/>
            </w:tcBorders>
            <w:shd w:val="clear" w:color="auto" w:fill="95B3D7"/>
            <w:noWrap w:val="0"/>
            <w:vAlign w:val="center"/>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lang w:bidi="ar"/>
              </w:rPr>
            </w:pPr>
            <w:r>
              <w:rPr>
                <w:rFonts w:hint="eastAsia" w:ascii="仿宋_GB2312" w:hAnsi="仿宋_GB2312" w:cs="仿宋_GB2312"/>
                <w:b/>
                <w:color w:val="000000"/>
                <w:kern w:val="0"/>
                <w:sz w:val="20"/>
                <w:szCs w:val="20"/>
                <w:lang w:bidi="ar"/>
              </w:rPr>
              <w:t>自查标准</w:t>
            </w:r>
          </w:p>
        </w:tc>
        <w:tc>
          <w:tcPr>
            <w:tcW w:w="4312" w:type="dxa"/>
            <w:vMerge w:val="restart"/>
            <w:tcBorders>
              <w:tl2br w:val="nil"/>
              <w:tr2bl w:val="nil"/>
            </w:tcBorders>
            <w:shd w:val="clear" w:color="auto" w:fill="95B3D7"/>
            <w:noWrap w:val="0"/>
            <w:vAlign w:val="center"/>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lang w:bidi="ar"/>
              </w:rPr>
            </w:pPr>
            <w:r>
              <w:rPr>
                <w:rFonts w:hint="eastAsia" w:ascii="仿宋_GB2312" w:hAnsi="仿宋_GB2312" w:cs="仿宋_GB2312"/>
                <w:b/>
                <w:color w:val="000000"/>
                <w:kern w:val="0"/>
                <w:sz w:val="20"/>
                <w:szCs w:val="20"/>
                <w:lang w:bidi="ar"/>
              </w:rPr>
              <w:t>自查依据</w:t>
            </w:r>
          </w:p>
        </w:tc>
        <w:tc>
          <w:tcPr>
            <w:tcW w:w="383" w:type="dxa"/>
            <w:vMerge w:val="restart"/>
            <w:tcBorders>
              <w:tl2br w:val="nil"/>
              <w:tr2bl w:val="nil"/>
            </w:tcBorders>
            <w:shd w:val="clear" w:color="auto" w:fill="95B3D7"/>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r>
              <w:rPr>
                <w:rFonts w:hint="eastAsia" w:ascii="仿宋_GB2312" w:hAnsi="黑体" w:cs="宋体"/>
                <w:b/>
                <w:kern w:val="0"/>
                <w:sz w:val="20"/>
                <w:szCs w:val="20"/>
              </w:rPr>
              <w:t>备注</w:t>
            </w:r>
          </w:p>
        </w:tc>
      </w:tr>
      <w:tr>
        <w:trPr>
          <w:trHeight w:val="285" w:hRule="atLeast"/>
          <w:tblHeader/>
          <w:jc w:val="center"/>
        </w:trPr>
        <w:tc>
          <w:tcPr>
            <w:tcW w:w="634" w:type="dxa"/>
            <w:vMerge w:val="continue"/>
            <w:tcBorders>
              <w:tl2br w:val="nil"/>
              <w:tr2bl w:val="nil"/>
            </w:tcBorders>
            <w:shd w:val="clear" w:color="auto" w:fill="auto"/>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c>
          <w:tcPr>
            <w:tcW w:w="963" w:type="dxa"/>
            <w:tcBorders>
              <w:tl2br w:val="nil"/>
              <w:tr2bl w:val="nil"/>
            </w:tcBorders>
            <w:shd w:val="clear" w:color="auto" w:fill="95B3D7"/>
            <w:noWrap w:val="0"/>
            <w:vAlign w:val="center"/>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lang w:bidi="ar"/>
              </w:rPr>
            </w:pPr>
            <w:r>
              <w:rPr>
                <w:rFonts w:hint="eastAsia" w:ascii="仿宋_GB2312" w:hAnsi="仿宋_GB2312" w:cs="仿宋_GB2312"/>
                <w:b/>
                <w:color w:val="000000"/>
                <w:kern w:val="0"/>
                <w:sz w:val="20"/>
                <w:szCs w:val="20"/>
                <w:lang w:bidi="ar"/>
              </w:rPr>
              <w:t>“一类”隐患</w:t>
            </w:r>
          </w:p>
        </w:tc>
        <w:tc>
          <w:tcPr>
            <w:tcW w:w="1012" w:type="dxa"/>
            <w:tcBorders>
              <w:tl2br w:val="nil"/>
              <w:tr2bl w:val="nil"/>
            </w:tcBorders>
            <w:shd w:val="clear" w:color="auto" w:fill="95B3D7"/>
            <w:noWrap w:val="0"/>
            <w:vAlign w:val="center"/>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lang w:bidi="ar"/>
              </w:rPr>
            </w:pPr>
            <w:r>
              <w:rPr>
                <w:rFonts w:hint="eastAsia" w:ascii="仿宋_GB2312" w:hAnsi="仿宋_GB2312" w:cs="仿宋_GB2312"/>
                <w:b/>
                <w:color w:val="000000"/>
                <w:kern w:val="0"/>
                <w:sz w:val="20"/>
                <w:szCs w:val="20"/>
                <w:lang w:bidi="ar"/>
              </w:rPr>
              <w:t>“二类”隐患</w:t>
            </w:r>
          </w:p>
        </w:tc>
        <w:tc>
          <w:tcPr>
            <w:tcW w:w="3225" w:type="dxa"/>
            <w:vMerge w:val="continue"/>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c>
          <w:tcPr>
            <w:tcW w:w="4038" w:type="dxa"/>
            <w:vMerge w:val="continue"/>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c>
          <w:tcPr>
            <w:tcW w:w="4312" w:type="dxa"/>
            <w:vMerge w:val="continue"/>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c>
          <w:tcPr>
            <w:tcW w:w="383" w:type="dxa"/>
            <w:vMerge w:val="continue"/>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431" w:hRule="atLeast"/>
          <w:jc w:val="center"/>
        </w:trPr>
        <w:tc>
          <w:tcPr>
            <w:tcW w:w="14567" w:type="dxa"/>
            <w:gridSpan w:val="7"/>
            <w:tcBorders>
              <w:tl2br w:val="nil"/>
              <w:tr2bl w:val="nil"/>
            </w:tcBorders>
            <w:shd w:val="clear" w:color="auto" w:fill="95B3D7"/>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r>
              <w:rPr>
                <w:rFonts w:hint="eastAsia" w:ascii="仿宋_GB2312" w:hAnsi="仿宋_GB2312" w:cs="仿宋_GB2312"/>
                <w:b/>
                <w:bCs w:val="0"/>
                <w:color w:val="000000"/>
                <w:kern w:val="0"/>
                <w:sz w:val="20"/>
                <w:szCs w:val="20"/>
                <w:lang w:bidi="ar"/>
              </w:rPr>
              <w:t>实验室基础管理</w:t>
            </w: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15.1.02.001</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基础资料类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机构及人员配备类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工业企业和科研单位未按</w:t>
            </w:r>
            <w:bookmarkStart w:id="2" w:name="_GoBack"/>
            <w:bookmarkEnd w:id="2"/>
            <w:r>
              <w:rPr>
                <w:rFonts w:hint="eastAsia" w:ascii="仿宋_GB2312" w:hAnsi="仿宋_GB2312" w:cs="仿宋_GB2312"/>
                <w:color w:val="000000"/>
                <w:sz w:val="20"/>
                <w:szCs w:val="20"/>
              </w:rPr>
              <w:t>要求设置安全生产管理机构或者配备专职安全生产管理人员。</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普通高等学校未设立校级领导机构、二级单位未明确分管领导；未指定职能部门负责危险化学品安全管理工作；各实验室未设专职或兼职安全员负责危险化学品的日常管理工作。</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工业企业和科研单位应明确本单位设有普通高等学校应设立安全生产管理机构或者配备专职安全生产管理人员。</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普通高等学校应设立负责实验室危险化学品安全管理的校级领导机构，指定职能部门负责本校危险化学品安全管理工作。涉及使用危险化学品的二级单位，并明确分管领导和安全管理人员，负责本单位实验室危险化学品的安全管理工作。</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各实验室设专职或兼职安全员负责危险化学品的日常管理工作。</w:t>
            </w:r>
          </w:p>
        </w:tc>
        <w:tc>
          <w:tcPr>
            <w:tcW w:w="4312" w:type="dxa"/>
            <w:tcBorders>
              <w:tl2br w:val="nil"/>
              <w:tr2bl w:val="nil"/>
            </w:tcBorders>
            <w:noWrap w:val="0"/>
            <w:vAlign w:val="center"/>
          </w:tcPr>
          <w:p>
            <w:pPr>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《中华人民共和国安全生产法》第二十四条；</w:t>
            </w:r>
          </w:p>
          <w:p>
            <w:pPr>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《北京市安全生产条例》第十九条；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《北京市生产经营单位安全生产主体责任规定》第十一条；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第4.2.3条；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第4.1条；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第4.2.1条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15.1.02.002</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基础资料类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机构及人员配备类</w:t>
            </w:r>
          </w:p>
        </w:tc>
        <w:tc>
          <w:tcPr>
            <w:tcW w:w="3225" w:type="dxa"/>
            <w:tcBorders>
              <w:tl2br w:val="nil"/>
              <w:tr2bl w:val="nil"/>
            </w:tcBorders>
            <w:noWrap w:val="0"/>
            <w:vAlign w:val="center"/>
          </w:tcPr>
          <w:p>
            <w:pPr>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专/兼职安全员未掌握危险化学品安全知识技能。</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科研实验开展前，未成立实验项目小组，未指定实验项目负责人和负责安全管理的人员。</w:t>
            </w:r>
          </w:p>
        </w:tc>
        <w:tc>
          <w:tcPr>
            <w:tcW w:w="4038" w:type="dxa"/>
            <w:tcBorders>
              <w:tl2br w:val="nil"/>
              <w:tr2bl w:val="nil"/>
            </w:tcBorders>
            <w:noWrap w:val="0"/>
            <w:vAlign w:val="center"/>
          </w:tcPr>
          <w:p>
            <w:pPr>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专/兼职安全员应掌握危险化学品安全知识技能。</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科研实验开展前，应成立实验项目小组，并指定实验项目负责人和负责安全管理的人员。</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第4.2.1条；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第4.3.1条；</w:t>
            </w:r>
          </w:p>
          <w:p>
            <w:pPr>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第8.1.3条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仿宋_GB2312" w:cs="仿宋_GB2312"/>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15.1.03.003</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基础资料类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责任制类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工业企业实验室未制定全员安全生产责任制；</w:t>
            </w:r>
          </w:p>
          <w:p>
            <w:pPr>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普通高等学校未建立健全并落实学校、二级单位和实验室（实训场所）安全管理三级责任体系。</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实验室主体责任单位应制定岗位安全责任制；</w:t>
            </w:r>
          </w:p>
          <w:p>
            <w:pPr>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ascii="仿宋_GB2312" w:hAnsi="仿宋_GB2312" w:cs="仿宋_GB2312"/>
                <w:color w:val="000000"/>
                <w:sz w:val="20"/>
                <w:szCs w:val="20"/>
              </w:rPr>
              <w:t>未建立与岗位相匹配的全员安全生产责任制或者未制定实施生产安全事故隐患排查治理制度。</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第4.1.2条；第4.1条；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《化工和危险化学品企业重大生产安全事故隐患判定准则（征求意见稿）》</w:t>
            </w:r>
            <w:r>
              <w:rPr>
                <w:rFonts w:hint="eastAsia" w:ascii="仿宋_GB2312" w:hAnsi="仿宋_GB2312" w:cs="仿宋_GB2312"/>
                <w:color w:val="000000"/>
                <w:sz w:val="20"/>
                <w:szCs w:val="20"/>
              </w:rPr>
              <w:t>第</w:t>
            </w:r>
            <w:r>
              <w:rPr>
                <w:rFonts w:ascii="仿宋_GB2312" w:hAnsi="仿宋_GB2312" w:cs="仿宋_GB2312"/>
                <w:color w:val="000000"/>
                <w:sz w:val="20"/>
                <w:szCs w:val="20"/>
              </w:rPr>
              <w:t>5.7.6</w:t>
            </w:r>
            <w:r>
              <w:rPr>
                <w:rFonts w:hint="eastAsia" w:ascii="仿宋_GB2312" w:hAnsi="仿宋_GB2312" w:cs="仿宋_GB2312"/>
                <w:color w:val="000000"/>
                <w:sz w:val="20"/>
                <w:szCs w:val="20"/>
              </w:rPr>
              <w:t>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第4.2.1条；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《教育系统重大事故隐患判定指南》第六条（一）；</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第4.1.1条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rPr>
                <w:rFonts w:hint="eastAsia" w:ascii="仿宋_GB2312" w:hAnsi="仿宋_GB2312" w:cs="仿宋_GB2312"/>
                <w:b/>
                <w:color w:val="000000"/>
                <w:kern w:val="0"/>
                <w:sz w:val="20"/>
                <w:szCs w:val="20"/>
              </w:rPr>
            </w:pPr>
            <w:r>
              <w:rPr>
                <w:rFonts w:hint="eastAsia" w:ascii="仿宋_GB2312" w:hAnsi="仿宋_GB2312" w:cs="仿宋_GB2312"/>
                <w:b/>
                <w:color w:val="000000"/>
                <w:kern w:val="0"/>
                <w:sz w:val="20"/>
                <w:szCs w:val="20"/>
              </w:rPr>
              <w:t>★1；★2</w:t>
            </w:r>
          </w:p>
          <w:p>
            <w:pPr>
              <w:pStyle w:val="11"/>
              <w:adjustRightInd w:val="0"/>
              <w:snapToGrid w:val="0"/>
              <w:spacing w:beforeLines="0" w:afterLines="0" w:line="240" w:lineRule="auto"/>
              <w:ind w:left="0" w:leftChars="0"/>
              <w:rPr>
                <w:rFonts w:hint="eastAsia" w:ascii="仿宋_GB2312" w:hAnsi="仿宋_GB2312" w:cs="仿宋_GB2312"/>
                <w:sz w:val="20"/>
                <w:szCs w:val="20"/>
              </w:rPr>
            </w:pPr>
          </w:p>
          <w:p>
            <w:pPr>
              <w:pStyle w:val="11"/>
              <w:adjustRightInd w:val="0"/>
              <w:snapToGrid w:val="0"/>
              <w:spacing w:beforeLines="0" w:afterLines="0" w:line="240" w:lineRule="auto"/>
              <w:ind w:left="0" w:leftChars="0"/>
              <w:rPr>
                <w:rFonts w:hint="eastAsia" w:ascii="仿宋_GB2312" w:hAnsi="仿宋_GB2312" w:cs="仿宋_GB2312"/>
                <w:sz w:val="20"/>
                <w:szCs w:val="20"/>
              </w:rPr>
            </w:pPr>
            <w:r>
              <w:rPr>
                <w:rFonts w:hint="eastAsia" w:ascii="仿宋_GB2312" w:hAnsi="仿宋_GB2312" w:cs="仿宋_GB2312"/>
                <w:sz w:val="20"/>
                <w:szCs w:val="20"/>
              </w:rPr>
              <w:t>★</w:t>
            </w:r>
          </w:p>
          <w:p>
            <w:pPr>
              <w:widowControl/>
              <w:suppressAutoHyphens/>
              <w:adjustRightInd w:val="0"/>
              <w:snapToGrid w:val="0"/>
              <w:spacing w:beforeLines="0" w:after="0" w:afterLines="0" w:line="240" w:lineRule="auto"/>
              <w:jc w:val="center"/>
              <w:rPr>
                <w:rFonts w:hint="eastAsia" w:ascii="仿宋_GB2312" w:hAnsi="仿宋_GB2312" w:cs="仿宋_GB2312"/>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15.1.04.004</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基础资料类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制度类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未制定实验室安全管理制度。</w:t>
            </w:r>
          </w:p>
          <w:p>
            <w:pPr>
              <w:suppressAutoHyphens/>
              <w:autoSpaceDE w:val="0"/>
              <w:autoSpaceDN w:val="0"/>
              <w:adjustRightInd w:val="0"/>
              <w:snapToGrid w:val="0"/>
              <w:spacing w:beforeLines="0" w:after="0" w:afterLines="0" w:line="240" w:lineRule="auto"/>
              <w:rPr>
                <w:rFonts w:hint="eastAsia" w:ascii="仿宋_GB2312" w:hAnsi="仿宋_GB2312" w:eastAsia="仿宋_GB2312" w:cs="仿宋_GB2312"/>
                <w:color w:val="000000"/>
                <w:sz w:val="20"/>
                <w:szCs w:val="20"/>
                <w:lang w:eastAsia="zh-CN"/>
              </w:rPr>
            </w:pPr>
            <w:r>
              <w:rPr>
                <w:rFonts w:hint="eastAsia" w:ascii="仿宋_GB2312" w:hAnsi="仿宋_GB2312" w:cs="仿宋_GB2312"/>
                <w:color w:val="000000"/>
                <w:sz w:val="20"/>
                <w:szCs w:val="20"/>
              </w:rPr>
              <w:t>工业企业实验室未制定事故隐患排查治理制度</w:t>
            </w:r>
            <w:r>
              <w:rPr>
                <w:rFonts w:hint="eastAsia" w:ascii="仿宋_GB2312" w:hAnsi="仿宋_GB2312" w:cs="仿宋_GB2312"/>
                <w:color w:val="000000"/>
                <w:sz w:val="20"/>
                <w:szCs w:val="20"/>
                <w:lang w:eastAsia="zh-CN"/>
              </w:rPr>
              <w:t>。</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主体责任单位应制定岗位安全责任制、实验室危险化学品采购、储存、使用和废弃管理制度、重大较大风险实验设备管理制度、安全设施管理制度、气瓶和气体管线安全管理；爆炸品、剧毒化学品特殊管理;安全培训及准入制度、危险化学品风险评估分级管控和事故隐患排查治理制度；个体防护装备、消防器材配备和使用制度；涉及小试、中试、扩大化试验的试验项目，应制定试验管理制度。</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ascii="仿宋_GB2312" w:hAnsi="仿宋_GB2312" w:cs="仿宋_GB2312"/>
                <w:color w:val="000000"/>
                <w:sz w:val="20"/>
                <w:szCs w:val="20"/>
              </w:rPr>
              <w:t>未制定实施生产安全事故隐患排查治理制度。</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第4.1条；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《化工和危险化学品企业重大生产安全事故隐患判定准则（征求意见稿）》</w:t>
            </w:r>
            <w:r>
              <w:rPr>
                <w:rFonts w:hint="eastAsia" w:ascii="仿宋_GB2312" w:hAnsi="仿宋_GB2312" w:cs="仿宋_GB2312"/>
                <w:color w:val="000000"/>
                <w:sz w:val="20"/>
                <w:szCs w:val="20"/>
              </w:rPr>
              <w:t>第5.7.6条；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第4.2.1条；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第4.1.1、4.1.2、4.1.3条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rPr>
                <w:rFonts w:hint="eastAsia" w:ascii="仿宋_GB2312" w:hAnsi="仿宋_GB2312" w:cs="仿宋_GB2312"/>
                <w:b/>
                <w:color w:val="000000"/>
                <w:kern w:val="0"/>
                <w:sz w:val="20"/>
                <w:szCs w:val="20"/>
              </w:rPr>
            </w:pPr>
            <w:r>
              <w:rPr>
                <w:rFonts w:hint="eastAsia" w:ascii="仿宋_GB2312" w:hAnsi="仿宋_GB2312" w:cs="仿宋_GB2312"/>
                <w:b/>
                <w:color w:val="000000"/>
                <w:kern w:val="0"/>
                <w:sz w:val="20"/>
                <w:szCs w:val="20"/>
              </w:rPr>
              <w:t>★1</w:t>
            </w: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15.1.05.005</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基础资料类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操作规程类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未制定相关实验和实验设备安全操作规程；</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危险化学品企业实验室操作规程不符合“七要素”要求的操作规程。其他实验室操作规程不符合除“作业环境”外的六要素。</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应制定实验和实验设备安全操作规程：a） 涉及危险工艺的实验；b） 涉及易燃易爆物质的实验；c） 涉及有毒有害物质的实验；d） 涉及气瓶、气体管路。</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安全操作规程应包括但不限于以下7项要素：a） 适用范围；b） 安全操作要求；c） 岗位存在的危险有害因素；d） 作业环境；e） 作业防护要求；f） 禁止事项；g） 紧急情况现场处置措施，并严格落实。</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未制定操作规程和工艺控制指标。</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《中华人民共和国安全生产法》第二十一条；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《北京市生产经营单位安全生产主体责任规定》第八条；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《危险化学品企业安全操作规程编制要求》（DB11/T 2332-2024）第5.1.6.1条；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《安全生产等级评定技术规范 第2部分：安全生产通用要求》（DB11/T 1322.2-2017）第3.1.3.2条；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《化工和危险化学品企业重大生产安全事故隐患判定准则（征求意见稿）》</w:t>
            </w:r>
            <w:r>
              <w:rPr>
                <w:rFonts w:hint="eastAsia" w:ascii="仿宋_GB2312" w:hAnsi="仿宋_GB2312" w:cs="仿宋_GB2312"/>
                <w:color w:val="000000"/>
                <w:sz w:val="20"/>
                <w:szCs w:val="20"/>
              </w:rPr>
              <w:t>第</w:t>
            </w:r>
            <w:r>
              <w:rPr>
                <w:rFonts w:ascii="仿宋_GB2312" w:hAnsi="仿宋_GB2312" w:cs="仿宋_GB2312"/>
                <w:color w:val="000000"/>
                <w:sz w:val="20"/>
                <w:szCs w:val="20"/>
              </w:rPr>
              <w:t>5.5.2</w:t>
            </w:r>
            <w:r>
              <w:rPr>
                <w:rFonts w:hint="eastAsia" w:ascii="仿宋_GB2312" w:hAnsi="仿宋_GB2312" w:cs="仿宋_GB2312"/>
                <w:color w:val="000000"/>
                <w:sz w:val="20"/>
                <w:szCs w:val="20"/>
              </w:rPr>
              <w:t>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第4.1.2条；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第4.2.3条;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第4.3.1条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rPr>
                <w:rFonts w:hint="eastAsia" w:ascii="仿宋_GB2312" w:hAnsi="仿宋_GB2312" w:cs="仿宋_GB2312"/>
                <w:b/>
                <w:color w:val="000000"/>
                <w:kern w:val="0"/>
                <w:sz w:val="20"/>
                <w:szCs w:val="20"/>
              </w:rPr>
            </w:pPr>
            <w:r>
              <w:rPr>
                <w:rFonts w:hint="eastAsia" w:ascii="仿宋_GB2312" w:hAnsi="仿宋_GB2312" w:cs="仿宋_GB2312"/>
                <w:b/>
                <w:color w:val="000000"/>
                <w:kern w:val="0"/>
                <w:sz w:val="20"/>
                <w:szCs w:val="20"/>
              </w:rPr>
              <w:t>★1</w:t>
            </w: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15.4.03.006</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标志及标识类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在实验室、危险化学品储存场所门口外未张贴或悬挂责任牌。</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在实验室、危险化学品储存场所门口外张贴或悬挂责任牌，明确责任人和联系电话。</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第4.2.3条；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第4.1条；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第4.2.1条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15.4.03.007</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标志及标识类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普通高等学校涉及使用危险化学品的实验设备，连续运转大于24小时的，未在实验室门外显著位置张贴告知牌。</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涉及使用危险化学品的实验设备，连续运转大于24小时的，宜在实验室门外显著位置张贴告知牌，至少包括以下内容：a）实验设备及实验名称;b）实验人员及联系方式;c）实验开始及结束时间;d）其他必要的安全提示信息</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第7.5.7条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15.4.03.008</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标志及标识类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未在实验室、危险化学品储存场所的显著位置张贴或悬挂安全操作规程和现场应急处置方案。</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在实验室、危险化学品储存场所的显著位置张贴或悬挂安全操作规程和现场应急处置方案。</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第4.1.2条；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第4.2.3条;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第4.3.1条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15.1.15.001</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基础资料类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其它类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购买危险化学品时未向供应商索取安全技术说明书（SDS）;</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未在实验室、危险化学品储存场所放置化学品安全技术说明书；</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包装物上未粘贴化学品安全标签或临时标签。</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购买危险化学品时应向供应商索取符合GB/T 16483规定的中文版化学品安全技术说明书（SDS）。实验室、危险化学品储存场所应放置化学品安全技术说明书。包装物上应有符合GB 15258规定的化学品安全标签。转移或分装或配置后的包装物应及时重新粘贴与化学品安全标签内容一致的标识或临时标签，临时标签应标明危险化学品和百分比含量。</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第4.3条；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第4.4条；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第4.4；4.2.2条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15.4.03.009</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标志及标识类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实验室、危险化学品储存场所未设置安全标志；气体管路无流向、色环和介质名称。</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实验室、危险化学品储存场所应有安全标志，标志应包含以下要求：</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符合GB 2894规定的警告、禁止、指令、提示等永久性安全标志；</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符合GB /T 30000.31规定的化学品警示性标志的象形图。</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气瓶的颜色标志应符合GB/T 7144和TSG 23的要求。气体管路的流向、色环和介质名称的设置应符合GB 7231的要求。</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第4.4.3条,第4.4.1、4.4.2条;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第4.5.4条；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第4.3.2条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仿宋_GB2312" w:cs="仿宋_GB2312"/>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15.1.08.010</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基础资料类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隐患排查类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未定期对实验室危险化学品管理工作进行安全检查；实验涉及的仪器、设备、装置、仪表等未定期检查，保持完好、灵敏。未对可能释放有害物质的仪器进行定期检查，未对其仪器周边环境进行有害物质监测。</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应定期对实验室危险化学品管理工作进行安全检查，安全检查应包括风险源辨识、风险评价、分级、管控措施、人员行为、安全设施和设备、应急物资等内容。实验涉及的仪器、设备、装置、仪表等应定期检查，保持完好、灵敏。应对可能释放有害物质的仪器进行定期检查，必要时，对其仪器周边环境进行有害物质监测。</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第7.5.1条；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第4.5.3条、第8.1.3条d）、e）、第8.2.1、8.2.3条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仿宋_GB2312" w:cs="仿宋_GB2312"/>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15.1.10.011</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基础资料类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教育培训类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未接受专业危险化学品安全教育培训，考核合格后方可准入；未按等级实施安全检查、安全培训、安全评估、条件保障等管理）的；实验人员在未得到安全准入的条件下进入实验室（实训场所）开展实验活动；</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未经过培训并授权的实验人员使用实验仪器、设备，未定期对已授权实验人员的能力进行评估。</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未对学习参观人员及其他外来人员进行安全教育培训。外来实习和短期工作人员上岗前，以及外来参观人员未接受危险化学品相关的安全知识培训。</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未建立安全教育培训台账。</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普通高等学校实验人员在未得到安全准入的条件下进入实验室（实训场所）开展实验活动的。</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开展实验操作的各类人员进入实验室前应接受专业危险化学品安全教育培训，考核合格后方可准入。</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所有实验仪器、设备均应由经过培训并授权的实验人员进行使用，且应定期对已授权实验人员的能力进行评估。</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教育培训内容应满足下列要求： a） 安全生产相关法律法规、标准规范； b） 实验室相关岗位安全生产责任制； c） 危险化学品安全管理制度； d） 危险化学品相关安全操作规程； e） 危险化学品危害特性及防护知识； f） 安全设备设施、个体防护装备的使用和维护； g） 危险化学品相关专项应急预案及现场处置方案； h） 典型事故案例等；i） 急救知识与技能，如人工呼吸，心肺复苏及自动体外除颤器（AED）使用等。</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应对学习参观人员及其他外来人员进行安全教育培训。外来实习和短期工作人员上岗前，以及外来参观人员应接受危险化学品相关的安全知识培训。</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应建立安全教育培训台账，如是记录教育培训的时间、内容、参加人员以及考核结果。</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（二）实验人员在未得到安全准入的条件下进入实验室（实训场所）开展实验活动的。</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《教育系统重大事故隐患判定指南》第六条（二）；</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第4.1条；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第4.3条；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第4.2.2、4.2.3、4.2.4、4.2.5、4.3.7、8.2.2条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仿宋_GB2312" w:cs="仿宋_GB2312"/>
                <w:b/>
                <w:kern w:val="0"/>
                <w:sz w:val="20"/>
                <w:szCs w:val="20"/>
              </w:rPr>
            </w:pPr>
            <w:r>
              <w:rPr>
                <w:rFonts w:hint="eastAsia" w:ascii="仿宋_GB2312" w:hAnsi="仿宋_GB2312" w:cs="仿宋_GB2312"/>
                <w:b/>
                <w:color w:val="000000"/>
                <w:kern w:val="0"/>
                <w:sz w:val="20"/>
                <w:szCs w:val="20"/>
              </w:rPr>
              <w:t>★2</w:t>
            </w: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15.4.06.012</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其它类</w:t>
            </w:r>
          </w:p>
        </w:tc>
        <w:tc>
          <w:tcPr>
            <w:tcW w:w="3225" w:type="dxa"/>
            <w:tcBorders>
              <w:tl2br w:val="nil"/>
              <w:tr2bl w:val="nil"/>
            </w:tcBorders>
            <w:noWrap w:val="0"/>
            <w:vAlign w:val="top"/>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实验室产生的废气(或尾气)未通过管路引至室外安全区域排放</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实验室产生的废气(或尾气)应通过管路引至室外安全区域排放</w:t>
            </w:r>
          </w:p>
        </w:tc>
        <w:tc>
          <w:tcPr>
            <w:tcW w:w="4312" w:type="dxa"/>
            <w:tcBorders>
              <w:tl2br w:val="nil"/>
              <w:tr2bl w:val="nil"/>
            </w:tcBorders>
            <w:noWrap w:val="0"/>
            <w:vAlign w:val="top"/>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第7.5.8条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15.4.06.013</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其它类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废弃危险化学品未合规分类、清理、收集、暂存、转运、清运。</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废弃危险化学品的分类、收集、暂存、转运应合规。实验结束，应将实验产生的废弃危险化学品，及时进行清理、收集、清运。</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第9.1条；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第8.1、8.2条；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第9章</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仿宋_GB2312" w:cs="仿宋_GB2312"/>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15.4.06.014</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其它类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长期不使用、过期、无使用价值的、自配化学品以及缺少安全标签、不清楚主要成分的危险化学品未及时进行清理、收集、清运。</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 xml:space="preserve">长期不使用、过期、无使用价值的、自配化学品以及缺少安全标签、不清楚主要成分的危险化学品，应及时进行清理、收集、清运。 </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第9.1条；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第8.3条；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第9章、第8.1.9条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仿宋_GB2312" w:cs="仿宋_GB2312"/>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15.4.06.015</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其它类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未委托具有相关资质的单位及时处置废弃危险化学品；废弃气瓶未及时委托具相应资资质的气瓶检验机构或专业气体回收处理单位进行处理。</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应委托具有相关资质的单位及时处置废弃危险化学品。长期不使用的、未在检验有效期内的、有缺陷的的气瓶因应及时委托具相应资资质的气瓶检验机构或专业气体回收处理单位进行处理。</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第9.2条；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第8.4；</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第9章、第7.4.10条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仿宋_GB2312" w:cs="仿宋_GB2312"/>
                <w:b/>
                <w:kern w:val="0"/>
                <w:sz w:val="20"/>
                <w:szCs w:val="20"/>
              </w:rPr>
            </w:pPr>
          </w:p>
        </w:tc>
      </w:tr>
      <w:tr>
        <w:trPr>
          <w:trHeight w:val="1721"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15.1.09.016</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基础资料类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应急救援类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未编制符合要求的危险化学品事故专项应急预案、现场处置方案和应急处置卡。</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实验室、危险化学品储存场所应编制符合要求的危险化学品事故专项应急预案或现场处置方案。按照实验室场所、岗位、使用与储存危险化学品的特点，编制应急处置卡。</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第4.5.1条；第4.5.2条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第4.6.1条；第4.6.2条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第4.1.1 h）、4.1.5条、第4.1.1 h）、4.1.5条；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仿宋_GB2312" w:cs="仿宋_GB2312"/>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15.1.09.017</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基础资料类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应急救援类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未按规定频次组织应急演练，未有演练记录；</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高校</w:t>
            </w:r>
            <w:r>
              <w:rPr>
                <w:rFonts w:hint="eastAsia" w:ascii="仿宋_GB2312" w:hAnsi="仿宋_GB2312" w:cs="仿宋_GB2312"/>
                <w:color w:val="000000"/>
                <w:sz w:val="20"/>
                <w:szCs w:val="20"/>
              </w:rPr>
              <w:t>实验室未制定应急预案并定期演练</w:t>
            </w:r>
            <w:r>
              <w:rPr>
                <w:rFonts w:hint="eastAsia" w:ascii="仿宋_GB2312" w:hAnsi="仿宋_GB2312" w:cs="仿宋_GB2312"/>
                <w:color w:val="000000"/>
                <w:sz w:val="20"/>
                <w:szCs w:val="20"/>
                <w:lang w:eastAsia="zh-CN"/>
              </w:rPr>
              <w:t>。</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相关专项应急预案每年至少演练一次，现场处置方案每半年至少演练一次，演练应有记录。</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第4.5.3条；《实验室危险化学品安全管理要求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第4.6.3、4.6.4、4.6.5条；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《教育系统重大事故隐患判定指南》第六条（三）；</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第4.1.6条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仿宋_GB2312" w:cs="仿宋_GB2312"/>
                <w:b/>
                <w:kern w:val="0"/>
                <w:sz w:val="20"/>
                <w:szCs w:val="20"/>
              </w:rPr>
            </w:pPr>
            <w:r>
              <w:rPr>
                <w:rFonts w:hint="eastAsia" w:ascii="仿宋_GB2312" w:hAnsi="仿宋_GB2312" w:cs="仿宋_GB2312"/>
                <w:b/>
                <w:color w:val="000000"/>
                <w:kern w:val="0"/>
                <w:sz w:val="20"/>
                <w:szCs w:val="20"/>
              </w:rPr>
              <w:t>★2</w:t>
            </w:r>
          </w:p>
        </w:tc>
      </w:tr>
      <w:tr>
        <w:trPr>
          <w:trHeight w:val="90"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15.1.07.018</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基础资料类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风险辨识类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教育系统实验室未建立实验室重要危险源（包括各类剧毒、易制爆、易制毒、爆炸品等有毒有害化学品，各类易燃、易爆、有毒、窒息、高压等危险气体</w:t>
            </w:r>
            <w:r>
              <w:rPr>
                <w:rFonts w:hint="eastAsia" w:ascii="仿宋_GB2312" w:hAnsi="仿宋_GB2312" w:cs="仿宋_GB2312"/>
                <w:color w:val="000000"/>
                <w:sz w:val="20"/>
                <w:szCs w:val="20"/>
                <w:lang w:eastAsia="zh-CN"/>
              </w:rPr>
              <w:t>）</w:t>
            </w:r>
            <w:r>
              <w:rPr>
                <w:rFonts w:hint="eastAsia" w:ascii="仿宋_GB2312" w:hAnsi="仿宋_GB2312" w:cs="仿宋_GB2312"/>
                <w:color w:val="000000"/>
                <w:sz w:val="20"/>
                <w:szCs w:val="20"/>
              </w:rPr>
              <w:t>风险管控方案（包括但不限于实验室分级分类；高风险等级实验室的备案与监督）。</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未建立实验室（实训场所）重要危险源（包括各类剧毒、易制爆、易制毒、爆炸品等有毒有害化学品，各类易燃、易爆、有毒、窒息、高压等危险气体，动物及病原微生物，辐射源及射线装置，同位素及核材料，危险性机械加工装置，强电强磁与激光设备，特种设备等）风险管控方案（包括但不限于实验室分级分类；高风险等级实验室的备案与监督）。</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《教育系统重大事故隐患判定指南》第六条（三）</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rPr>
            </w:pPr>
            <w:r>
              <w:rPr>
                <w:rFonts w:hint="eastAsia" w:ascii="仿宋_GB2312" w:hAnsi="仿宋_GB2312" w:cs="仿宋_GB2312"/>
                <w:color w:val="000000"/>
                <w:sz w:val="20"/>
                <w:szCs w:val="20"/>
              </w:rPr>
              <w:t>★2</w:t>
            </w:r>
          </w:p>
        </w:tc>
      </w:tr>
      <w:tr>
        <w:trPr>
          <w:trHeight w:val="1586"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15.1.09.019</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基础资料类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应急救援类</w:t>
            </w:r>
          </w:p>
        </w:tc>
        <w:tc>
          <w:tcPr>
            <w:tcW w:w="3225" w:type="dxa"/>
            <w:tcBorders>
              <w:tl2br w:val="nil"/>
              <w:tr2bl w:val="nil"/>
            </w:tcBorders>
            <w:noWrap w:val="0"/>
            <w:vAlign w:val="top"/>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当实验过程或储存过程中，仪器、设备或现场出现异常情况或危险化学品泄漏、中毒、窒息、着火、灼伤、爆炸等可能危及实验人员安全时，实验人员未停止作业，迅速撤离，未及时通知实验室安全负责人。</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当实验过程中仪器、设备或现场出现异常情况，可能危及实验人员安全时，实验人员应立即停止作业，迅速撤离，并及时通知实验室安全负责人。</w:t>
            </w:r>
          </w:p>
        </w:tc>
        <w:tc>
          <w:tcPr>
            <w:tcW w:w="4312" w:type="dxa"/>
            <w:tcBorders>
              <w:tl2br w:val="nil"/>
              <w:tr2bl w:val="nil"/>
            </w:tcBorders>
            <w:noWrap w:val="0"/>
            <w:vAlign w:val="top"/>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第8.2.11条</w:t>
            </w:r>
          </w:p>
        </w:tc>
        <w:tc>
          <w:tcPr>
            <w:tcW w:w="383" w:type="dxa"/>
            <w:tcBorders>
              <w:tl2br w:val="nil"/>
              <w:tr2bl w:val="nil"/>
            </w:tcBorders>
            <w:noWrap w:val="0"/>
            <w:vAlign w:val="top"/>
          </w:tcPr>
          <w:p>
            <w:pPr>
              <w:suppressAutoHyphens/>
              <w:autoSpaceDE w:val="0"/>
              <w:autoSpaceDN w:val="0"/>
              <w:adjustRightInd w:val="0"/>
              <w:snapToGrid w:val="0"/>
              <w:spacing w:beforeLines="0" w:after="0" w:afterLines="0" w:line="240" w:lineRule="auto"/>
              <w:jc w:val="left"/>
              <w:rPr>
                <w:rFonts w:hint="eastAsia" w:ascii="仿宋_GB2312" w:hAnsi="仿宋_GB2312" w:cs="仿宋_GB2312"/>
                <w:color w:val="000000"/>
                <w:sz w:val="20"/>
                <w:szCs w:val="20"/>
              </w:rPr>
            </w:pPr>
          </w:p>
        </w:tc>
      </w:tr>
      <w:tr>
        <w:trPr>
          <w:trHeight w:val="475" w:hRule="atLeast"/>
          <w:jc w:val="center"/>
        </w:trPr>
        <w:tc>
          <w:tcPr>
            <w:tcW w:w="14567" w:type="dxa"/>
            <w:gridSpan w:val="7"/>
            <w:tcBorders>
              <w:tl2br w:val="nil"/>
              <w:tr2bl w:val="nil"/>
            </w:tcBorders>
            <w:shd w:val="clear" w:color="auto" w:fill="95B3D7"/>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b/>
                <w:color w:val="000000"/>
                <w:kern w:val="0"/>
                <w:sz w:val="20"/>
                <w:szCs w:val="20"/>
                <w:lang w:bidi="ar"/>
              </w:rPr>
              <w:t>建（构）筑物管理</w:t>
            </w: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15.4.01.020</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平面布置类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使用、储存危险化学品的实验室、储存场所与周边安全间距不足；</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液氧站的建构筑物与周边设施的防火间距不符合GB 50030的要求；</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氢气站（供氢站）的建构筑物、与周边设施的防火间距不符合GB 50177的要求。</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使用、储存危险化学品的实验室、储存场所，应确定所占建构筑物比例和火灾危险性类别，并依据GB 50016判定周边安全间距的符合性。液氧站的建构筑物与周边设施的防火间距应符合GB 50030的要求；氢气站（供氢站）的建构筑物、与周边设施的防火间距应符合GB 50177的要求。</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《建筑设计防火规范（2018年版）》（GB 50016-2014）第3.1.1、3.1.3、3.4.1、3.4.3、3.5.1、3.5.2条；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《氧气站设计规范》（GB 50030-2013）；</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《氢气站设计规范》（GB 50177-2005）</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15.4.05.021</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周边环境类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储存爆炸物的仓库、储存有毒气体或易燃气体且构成危险化学品重大危险源的仓库与周边防护目标的外部安全防护距离不合格。</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储存爆炸物的仓库、储存有毒气体或易燃气体且构成危险化学品重大危险源的仓库与周边防护目标的外部安全防护距离应符合GB 36894、GB/T 37243的规定。</w:t>
            </w:r>
          </w:p>
          <w:p>
            <w:pPr>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危险化学品储存场所应远离食堂、会议室、活动室等人员密集场所。</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《危险化学品储存场所建设及储存安全要求》（DB11/T 755）第4.2.2条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15.2.11.022</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其它设备设施类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有爆炸风险的实验室、易燃易爆危险化学品储存场所、气瓶间、汇流排间，建筑物耐火等级低于二级，未设置泄压设施。</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有爆炸风险的实验室、易燃易爆危险化学品储存场所、气瓶间、汇流排间，建筑物耐火等级不应低于二级，应设置泄压设施。</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第5.4节；</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第5.3.2条c）；</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第5.2.2条d）、第5.5.3条a）</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15.2.11.023</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其它设备设施类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存在爆炸危险的危险化学品仓库未设置泄压设施，泄压方向、墙体、门窗不</w:t>
            </w:r>
            <w:r>
              <w:rPr>
                <w:rFonts w:hint="eastAsia" w:ascii="仿宋_GB2312" w:hAnsi="仿宋_GB2312" w:cs="仿宋_GB2312"/>
                <w:color w:val="000000"/>
                <w:sz w:val="20"/>
                <w:szCs w:val="20"/>
                <w:lang w:eastAsia="zh-CN"/>
              </w:rPr>
              <w:t>符合要求</w:t>
            </w:r>
            <w:r>
              <w:rPr>
                <w:rFonts w:hint="eastAsia" w:ascii="仿宋_GB2312" w:hAnsi="仿宋_GB2312" w:cs="仿宋_GB2312"/>
                <w:color w:val="000000"/>
                <w:sz w:val="20"/>
                <w:szCs w:val="20"/>
              </w:rPr>
              <w:t>。</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存在爆炸危险的危险化学品仓库应设置泄压设施。泄压方向宜向上，侧面泄压应避开人员集中场所、主要通道及能引起二次爆炸的车间、仓库。泄压设施宜采用轻质屋面板、轻质墙体和易于泄压的门、窗等。</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《危险化学品储存场所建设及储存安全要求》（DB11/T 755）第4.2.9条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15.4.02.024</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建（构）筑物类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危险化学品储存场所、设</w:t>
            </w:r>
            <w:r>
              <w:rPr>
                <w:rFonts w:hint="eastAsia" w:ascii="仿宋_GB2312" w:hAnsi="仿宋_GB2312" w:cs="仿宋_GB2312"/>
                <w:color w:val="000000"/>
                <w:sz w:val="20"/>
                <w:szCs w:val="20"/>
                <w:lang w:eastAsia="zh-CN"/>
              </w:rPr>
              <w:t>有</w:t>
            </w:r>
            <w:r>
              <w:rPr>
                <w:rFonts w:hint="eastAsia" w:ascii="仿宋_GB2312" w:hAnsi="仿宋_GB2312" w:cs="仿宋_GB2312"/>
                <w:color w:val="000000"/>
                <w:sz w:val="20"/>
                <w:szCs w:val="20"/>
              </w:rPr>
              <w:t>危险化学品储存柜的实验室设置在地下或半地下建（构）筑物内。专用储存室、气瓶间、仓库设有地下室。储存有易燃易爆危险化学品的专用储存室设地沟、暗道。</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危险化学品储存场所、设置危险化学品储存柜的实验室不应设置在地下或半地下建（构）筑物内。专用储存室、气瓶间、仓库不应设有地下室。储存有易燃易爆危险化学品的专用储存室不应设地沟、暗道。</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第7.1.2条；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第6.1.1条；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第5.1.2条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15.4.02.025</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建（构）筑物类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可能散发可燃气体的专用储存室、气瓶间设有吊顶。</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工业企业未在可能散发可燃气体的专用储存室、气瓶间吊顶内设置可燃气体探测器。</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使用或产生比空气轻的可燃气体且有火灾、爆炸风险的实验室不宜设置吊顶，确需设置时应在吊顶内设置可燃气体探测器。可能散发可燃气体的专用储存室、气瓶间不应设吊顶。</w:t>
            </w:r>
          </w:p>
          <w:p>
            <w:pPr>
              <w:suppressAutoHyphens/>
              <w:autoSpaceDE w:val="0"/>
              <w:autoSpaceDN w:val="0"/>
              <w:adjustRightInd w:val="0"/>
              <w:snapToGrid w:val="0"/>
              <w:spacing w:beforeLines="0" w:after="0" w:afterLines="0" w:line="240" w:lineRule="auto"/>
              <w:rPr>
                <w:rFonts w:hint="eastAsia" w:ascii="仿宋_GB2312" w:hAnsi="仿宋_GB2312" w:eastAsia="仿宋_GB2312" w:cs="仿宋_GB2312"/>
                <w:color w:val="000000"/>
                <w:sz w:val="20"/>
                <w:szCs w:val="20"/>
                <w:lang w:eastAsia="zh-CN"/>
              </w:rPr>
            </w:pPr>
            <w:r>
              <w:rPr>
                <w:rFonts w:ascii="仿宋_GB2312" w:hAnsi="仿宋_GB2312" w:cs="仿宋_GB2312"/>
                <w:color w:val="000000"/>
                <w:sz w:val="20"/>
                <w:szCs w:val="20"/>
              </w:rPr>
              <w:t>存在可燃或有毒气体泄漏风险的场所未按设计要求设置气体探测器或气体探测器功能失效</w:t>
            </w:r>
            <w:r>
              <w:rPr>
                <w:rFonts w:hint="eastAsia" w:ascii="仿宋_GB2312" w:hAnsi="仿宋_GB2312" w:cs="仿宋_GB2312"/>
                <w:color w:val="000000"/>
                <w:sz w:val="20"/>
                <w:szCs w:val="20"/>
                <w:lang w:eastAsia="zh-CN"/>
              </w:rPr>
              <w:t>。</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p>
        </w:tc>
        <w:tc>
          <w:tcPr>
            <w:tcW w:w="4312" w:type="dxa"/>
            <w:tcBorders>
              <w:tl2br w:val="nil"/>
              <w:tr2bl w:val="nil"/>
            </w:tcBorders>
            <w:noWrap w:val="0"/>
            <w:vAlign w:val="center"/>
          </w:tcPr>
          <w:p>
            <w:pPr>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《中华人民共和国安全生产法》第三十六条；</w:t>
            </w:r>
          </w:p>
          <w:p>
            <w:pPr>
              <w:autoSpaceDE w:val="0"/>
              <w:autoSpaceDN w:val="0"/>
              <w:adjustRightInd w:val="0"/>
              <w:snapToGrid w:val="0"/>
              <w:spacing w:beforeLines="0" w:after="0" w:afterLines="0" w:line="240" w:lineRule="auto"/>
              <w:ind w:left="0" w:hanging="200" w:hangingChars="100"/>
              <w:rPr>
                <w:rFonts w:hint="eastAsia" w:ascii="仿宋_GB2312" w:hAnsi="仿宋_GB2312" w:cs="仿宋_GB2312"/>
                <w:color w:val="000000"/>
                <w:sz w:val="20"/>
                <w:szCs w:val="20"/>
              </w:rPr>
            </w:pPr>
            <w:r>
              <w:rPr>
                <w:rFonts w:hint="eastAsia" w:ascii="仿宋_GB2312" w:hAnsi="仿宋_GB2312" w:cs="仿宋_GB2312"/>
                <w:color w:val="000000"/>
                <w:sz w:val="20"/>
                <w:szCs w:val="20"/>
              </w:rPr>
              <w:t>《建筑设计防火规范（2018年版）》（GB 50016-2014）第8.4.3条；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《化工和危险化学品企业重大生产安全事故隐患判定准则（征求意见稿）》</w:t>
            </w:r>
            <w:r>
              <w:rPr>
                <w:rFonts w:hint="eastAsia" w:ascii="仿宋_GB2312" w:hAnsi="仿宋_GB2312" w:cs="仿宋_GB2312"/>
                <w:color w:val="000000"/>
                <w:sz w:val="20"/>
                <w:szCs w:val="20"/>
              </w:rPr>
              <w:t>第</w:t>
            </w:r>
            <w:r>
              <w:rPr>
                <w:rFonts w:ascii="仿宋_GB2312" w:hAnsi="仿宋_GB2312" w:cs="仿宋_GB2312"/>
                <w:color w:val="000000"/>
                <w:sz w:val="20"/>
                <w:szCs w:val="20"/>
              </w:rPr>
              <w:t>5.4.2</w:t>
            </w:r>
            <w:r>
              <w:rPr>
                <w:rFonts w:hint="eastAsia" w:ascii="仿宋_GB2312" w:hAnsi="仿宋_GB2312" w:cs="仿宋_GB2312"/>
                <w:color w:val="000000"/>
                <w:sz w:val="20"/>
                <w:szCs w:val="20"/>
              </w:rPr>
              <w:t>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《实验室危险化学品安全管理要求第1部分工业企业》（DB11/T 1191.1-2025</w:t>
            </w:r>
            <w:r>
              <w:rPr>
                <w:rFonts w:hint="eastAsia" w:ascii="仿宋_GB2312" w:hAnsi="仿宋_GB2312" w:cs="仿宋_GB2312"/>
                <w:color w:val="000000"/>
                <w:sz w:val="20"/>
                <w:szCs w:val="20"/>
              </w:rPr>
              <w:t>第5.1、5.4条；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第5.1.4条；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第5.2.3条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r>
              <w:rPr>
                <w:rFonts w:hint="eastAsia" w:ascii="仿宋_GB2312" w:hAnsi="仿宋_GB2312" w:cs="仿宋_GB2312"/>
                <w:b/>
                <w:color w:val="000000"/>
                <w:kern w:val="0"/>
                <w:sz w:val="20"/>
                <w:szCs w:val="20"/>
              </w:rPr>
              <w:t>★1</w:t>
            </w: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15.4.02.026</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建（构）筑物类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易燃易爆危险化学品储存场所地面未设置不发火的导静电地面；储存腐蚀性危险化学品的储存场所未做防腐处理。</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易燃易爆危险化学品储存场所的地面应为不发火的导静电地面。储存腐蚀性危险化学品的储存场所应做防腐处理。</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《实验室危险化学品安全管理要求第1部分工业企业》（DB11/T 1191.1-2025</w:t>
            </w:r>
            <w:r>
              <w:rPr>
                <w:rFonts w:hint="eastAsia" w:ascii="仿宋_GB2312" w:hAnsi="仿宋_GB2312" w:cs="仿宋_GB2312"/>
                <w:color w:val="000000"/>
                <w:sz w:val="20"/>
                <w:szCs w:val="20"/>
              </w:rPr>
              <w:t>第5.5、5.6节；</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第5.1.3条；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第5.2.1条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15.4.02.027</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建（构）筑物类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实验工作区和办公休息区未隔开设置。</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实验工作区和办公休息区应隔开设置。</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第5.3节；</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第5.3.1条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第5.2.1条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15.2.07.028</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通用设备类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实验室以及甲、乙类物质储存场所的门未向疏散方向开启且非平开门。</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实验室以及甲、乙类物质储存场所的门应向疏散方向开启且采用平开门，不应采用推拉门、卷帘门。易燃易爆危险化学品储存场所的门应为甲级防火门，并应有防盗功能。</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第5.2条；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第5.3.2条；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《实验室危险化学品安全管理要求第3部分：科研单位》（DB11/T 1191.3-2024）</w:t>
            </w:r>
            <w:r>
              <w:rPr>
                <w:rFonts w:hint="eastAsia" w:ascii="仿宋_GB2312" w:hAnsi="仿宋_GB2312" w:cs="仿宋_GB2312"/>
                <w:color w:val="000000"/>
                <w:sz w:val="20"/>
                <w:szCs w:val="20"/>
              </w:rPr>
              <w:t>第5.1.3条b）</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15.2.12.029</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实验台、通风橱等临时储存危险化学品超过当班或当天的用量，剩余危险化学品未及时放回危险化学品储存场所。</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实验室内实验台、通风橱等临时储存危险化学品时，不应超过当班或当天的用量，剩余危险化学品应及时放回危险化学品储存场所。</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第8.3.1条；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第7.2.2条；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第7.2.1条f）</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15.2.03.030</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辅助系统设备设施类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使用或可能产生对人体有害的化学试剂和腐蚀性物质的实验室，其排风系统利用建筑物的结构风道作为实验室排风系统的风道。</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危险化学品专用储存室、储存易燃气体、有毒气体的气瓶间内使用与其他房间相连的中央空调，未设置独立通风系统。</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使用或可能产生对人体有害的化学试剂和腐蚀性物质的实验室，其排风系统不应利用建筑物的结构风道作为实验室排风系统的风道。</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危险化学品专用储存室、储存易燃气体、有毒气体的气瓶间内不应使用与其他房间相连的中央空调，应设置独立通风系统。</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第5.2.4条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15.2.03.031</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辅助系统设备设施类</w:t>
            </w:r>
          </w:p>
        </w:tc>
        <w:tc>
          <w:tcPr>
            <w:tcW w:w="3225" w:type="dxa"/>
            <w:tcBorders>
              <w:tl2br w:val="nil"/>
              <w:tr2bl w:val="nil"/>
            </w:tcBorders>
            <w:noWrap w:val="0"/>
            <w:vAlign w:val="top"/>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氢氧发生器设置场所</w:t>
            </w:r>
            <w:r>
              <w:rPr>
                <w:rFonts w:hint="eastAsia" w:ascii="仿宋_GB2312" w:hAnsi="仿宋_GB2312" w:cs="仿宋_GB2312"/>
                <w:color w:val="000000"/>
                <w:sz w:val="20"/>
                <w:szCs w:val="20"/>
                <w:lang w:eastAsia="zh-CN"/>
              </w:rPr>
              <w:t>不</w:t>
            </w:r>
            <w:r>
              <w:rPr>
                <w:rFonts w:hint="eastAsia" w:ascii="仿宋_GB2312" w:hAnsi="仿宋_GB2312" w:cs="仿宋_GB2312"/>
                <w:color w:val="000000"/>
                <w:sz w:val="20"/>
                <w:szCs w:val="20"/>
              </w:rPr>
              <w:t>符合下列要求：a)在使用氢氧发生器时，未即产即用，未禁止储存、压缩氢氧混合气。设备在超压或负压状态下运行；b) 氢氧发生器停止使用时，未按规定程序进行停机操作，未断开设备电源，未排空设备和管道内的氢氧混合气，未以氮气等对管道内的氢氧混合气进行有效的吹扫、置换； c) 场所内采用明火取暖，氢氧发生器未可靠接地，接地电阻不小于4.0Ω。</w:t>
            </w:r>
          </w:p>
        </w:tc>
        <w:tc>
          <w:tcPr>
            <w:tcW w:w="4038" w:type="dxa"/>
            <w:tcBorders>
              <w:tl2br w:val="nil"/>
              <w:tr2bl w:val="nil"/>
            </w:tcBorders>
            <w:noWrap w:val="0"/>
            <w:vAlign w:val="center"/>
          </w:tcPr>
          <w:p>
            <w:pPr>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氢氧发生器设置场所应符合下列要求： a) 在使用氢氧发生器时，应即产即用，禁止储存、压缩氢氧混合气。设备不得在超压或负压状态下运行； b) 氢氧发生器停止使用时，首先按规定程序进行停机操作，断开设备电源，然后排空设备和管道内的氢氧混合气，并以氮气等对管道内的氢氧混合气进行有效的吹扫、置换； c) 场所内不应采用明火取暖，氢氧发生器应可靠接地，接地电阻应小于4.0Ω。</w:t>
            </w:r>
          </w:p>
        </w:tc>
        <w:tc>
          <w:tcPr>
            <w:tcW w:w="4312" w:type="dxa"/>
            <w:tcBorders>
              <w:tl2br w:val="nil"/>
              <w:tr2bl w:val="nil"/>
            </w:tcBorders>
            <w:noWrap w:val="0"/>
            <w:vAlign w:val="center"/>
          </w:tcPr>
          <w:p>
            <w:pPr>
              <w:pStyle w:val="19"/>
              <w:widowControl w:val="0"/>
              <w:suppressAutoHyphens/>
              <w:autoSpaceDE w:val="0"/>
              <w:autoSpaceDN w:val="0"/>
              <w:adjustRightInd w:val="0"/>
              <w:snapToGrid w:val="0"/>
              <w:spacing w:before="0" w:beforeLines="0" w:after="0" w:afterLines="0" w:line="240" w:lineRule="auto"/>
              <w:jc w:val="both"/>
              <w:outlineLvl w:val="9"/>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lang w:eastAsia="zh-CN"/>
              </w:rPr>
              <w:t>《实验室危险化学品安全管理要求 第3部分：科研单位》（DB11/T 1191.3-2024）</w:t>
            </w:r>
            <w:r>
              <w:rPr>
                <w:rFonts w:hint="eastAsia" w:ascii="仿宋_GB2312" w:hAnsi="仿宋_GB2312" w:eastAsia="仿宋_GB2312" w:cs="仿宋_GB2312"/>
                <w:color w:val="000000"/>
                <w:kern w:val="2"/>
                <w:sz w:val="20"/>
                <w:szCs w:val="20"/>
              </w:rPr>
              <w:t>第5.2.4条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color w:val="00000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15.2.03.032</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辅助系统设备设施类</w:t>
            </w:r>
          </w:p>
        </w:tc>
        <w:tc>
          <w:tcPr>
            <w:tcW w:w="3225" w:type="dxa"/>
            <w:tcBorders>
              <w:tl2br w:val="nil"/>
              <w:tr2bl w:val="nil"/>
            </w:tcBorders>
            <w:noWrap w:val="0"/>
            <w:vAlign w:val="top"/>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液氧的储存、汽化、充装、使用场所周边20m内有明火，未在醒目位置设置禁火标志；场所周边5m内有通向低处场所（如地下室、坑穴、地井、沟渠）的开口，地沟入口处未设置挡液堰。</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液氧的储存、汽化、充装、使用场所周边20m内不应有明火，并应在醒目位置设置禁火标志；场所周边5m内不得有通向低处场所（如地下室、坑穴、地井、沟渠）的开口，地沟入口处应设置挡液堰。</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p>
        </w:tc>
        <w:tc>
          <w:tcPr>
            <w:tcW w:w="4312" w:type="dxa"/>
            <w:tcBorders>
              <w:tl2br w:val="nil"/>
              <w:tr2bl w:val="nil"/>
            </w:tcBorders>
            <w:noWrap w:val="0"/>
            <w:vAlign w:val="top"/>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第5.3.8条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473" w:hRule="atLeast"/>
          <w:jc w:val="center"/>
        </w:trPr>
        <w:tc>
          <w:tcPr>
            <w:tcW w:w="14567" w:type="dxa"/>
            <w:gridSpan w:val="7"/>
            <w:tcBorders>
              <w:tl2br w:val="nil"/>
              <w:tr2bl w:val="nil"/>
            </w:tcBorders>
            <w:shd w:val="clear" w:color="auto" w:fill="95B3D7"/>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r>
              <w:rPr>
                <w:rFonts w:hint="eastAsia" w:ascii="仿宋_GB2312" w:hAnsi="仿宋_GB2312" w:cs="仿宋_GB2312"/>
                <w:b/>
                <w:bCs w:val="0"/>
                <w:color w:val="000000"/>
                <w:kern w:val="0"/>
                <w:sz w:val="20"/>
                <w:szCs w:val="20"/>
                <w:lang w:bidi="ar"/>
              </w:rPr>
              <w:t>安全设施管理</w:t>
            </w: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15.2.11.033</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其他设备设施类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易燃易爆危险化学品储存场所、气瓶间外的出入口外未设置人体静电释放装置。</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易燃易爆危险化学品储存场所、气瓶间外的出入口外应设置人体静电释放装置。</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第6.9条；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第5.1.1条；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第6.4.2条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15.2.09.034</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监控系统类</w:t>
            </w:r>
          </w:p>
        </w:tc>
        <w:tc>
          <w:tcPr>
            <w:tcW w:w="3225" w:type="dxa"/>
            <w:tcBorders>
              <w:tl2br w:val="nil"/>
              <w:tr2bl w:val="nil"/>
            </w:tcBorders>
            <w:noWrap w:val="0"/>
            <w:vAlign w:val="center"/>
          </w:tcPr>
          <w:p>
            <w:pPr>
              <w:pStyle w:val="19"/>
              <w:widowControl w:val="0"/>
              <w:autoSpaceDE w:val="0"/>
              <w:autoSpaceDN w:val="0"/>
              <w:adjustRightInd w:val="0"/>
              <w:snapToGrid w:val="0"/>
              <w:spacing w:before="0" w:beforeLines="0" w:after="0" w:afterLines="0" w:line="240" w:lineRule="auto"/>
              <w:jc w:val="both"/>
              <w:outlineLvl w:val="9"/>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工业企业可能散发可燃气体、有毒气体的场所未设置可燃、有毒气体探测器；可能导致环境氧气浓度变化的场所未设置氧气探测器；探测器的终端未设置UPS备用电源和防雷插座。</w:t>
            </w:r>
          </w:p>
          <w:p>
            <w:pPr>
              <w:autoSpaceDE w:val="0"/>
              <w:autoSpaceDN w:val="0"/>
              <w:adjustRightInd w:val="0"/>
              <w:snapToGrid w:val="0"/>
              <w:spacing w:beforeLines="0" w:after="0" w:afterLines="0" w:line="240" w:lineRule="auto"/>
              <w:rPr>
                <w:rFonts w:hint="eastAsia" w:ascii="仿宋_GB2312" w:hAnsi="仿宋_GB2312" w:eastAsia="仿宋_GB2312" w:cs="仿宋_GB2312"/>
                <w:color w:val="000000"/>
                <w:sz w:val="20"/>
                <w:szCs w:val="20"/>
                <w:lang w:eastAsia="zh-CN"/>
              </w:rPr>
            </w:pPr>
            <w:r>
              <w:rPr>
                <w:rFonts w:hint="eastAsia" w:ascii="仿宋_GB2312" w:hAnsi="仿宋_GB2312" w:cs="仿宋_GB2312"/>
                <w:color w:val="000000"/>
                <w:sz w:val="20"/>
                <w:szCs w:val="20"/>
              </w:rPr>
              <w:t>或大量使用危险气体且无气体浓度报警措施或通风设施不合格</w:t>
            </w:r>
            <w:r>
              <w:rPr>
                <w:rFonts w:hint="eastAsia" w:ascii="仿宋_GB2312" w:hAnsi="仿宋_GB2312" w:cs="仿宋_GB2312"/>
                <w:color w:val="000000"/>
                <w:sz w:val="20"/>
                <w:szCs w:val="20"/>
                <w:lang w:eastAsia="zh-CN"/>
              </w:rPr>
              <w:t>。</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普通高等学校涉及可燃和有毒有害气体泄漏的场所未按国家标准设置检测报警装置，爆炸危险场所未按国家标准安装使用防爆电气设备。</w:t>
            </w:r>
          </w:p>
        </w:tc>
        <w:tc>
          <w:tcPr>
            <w:tcW w:w="4038" w:type="dxa"/>
            <w:tcBorders>
              <w:tl2br w:val="nil"/>
              <w:tr2bl w:val="nil"/>
            </w:tcBorders>
            <w:noWrap w:val="0"/>
            <w:vAlign w:val="center"/>
          </w:tcPr>
          <w:p>
            <w:pPr>
              <w:pStyle w:val="19"/>
              <w:widowControl w:val="0"/>
              <w:autoSpaceDE w:val="0"/>
              <w:autoSpaceDN w:val="0"/>
              <w:adjustRightInd w:val="0"/>
              <w:snapToGrid w:val="0"/>
              <w:spacing w:before="0" w:beforeLines="0" w:after="0" w:afterLines="0" w:line="240" w:lineRule="auto"/>
              <w:jc w:val="both"/>
              <w:outlineLvl w:val="9"/>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实验室、危险化学品储存场所可能散发可燃气体、有毒气体的场所，应根据气体的特性设置可燃、有毒气体探测器。可能导致环境氧气浓度变化的场所，应设置氧气探测器，安装高度宜距地坪或楼地板1.5m～2.0m。探测器的终端应设置备用电源，并宜符合GB 16808的要求。</w:t>
            </w:r>
          </w:p>
          <w:p>
            <w:pPr>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大量使用危险气体且无气体浓度报警措施或通风设施不合格</w:t>
            </w:r>
          </w:p>
          <w:p>
            <w:pPr>
              <w:suppressAutoHyphens/>
              <w:autoSpaceDE w:val="0"/>
              <w:autoSpaceDN w:val="0"/>
              <w:adjustRightInd w:val="0"/>
              <w:snapToGrid w:val="0"/>
              <w:spacing w:beforeLines="0" w:after="0" w:afterLines="0" w:line="240" w:lineRule="auto"/>
              <w:rPr>
                <w:rFonts w:ascii="仿宋_GB2312" w:hAnsi="仿宋_GB2312" w:cs="仿宋_GB2312"/>
                <w:color w:val="000000"/>
                <w:sz w:val="20"/>
                <w:szCs w:val="20"/>
              </w:rPr>
            </w:pPr>
            <w:r>
              <w:rPr>
                <w:rFonts w:ascii="仿宋_GB2312" w:hAnsi="仿宋_GB2312" w:cs="仿宋_GB2312"/>
                <w:color w:val="000000"/>
                <w:sz w:val="20"/>
                <w:szCs w:val="20"/>
              </w:rPr>
              <w:t>存在可燃或有毒气体泄漏风险的场所未按设计要求设置气体探测器或气体探测器功能失效；GDS未 投入使用。</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第六条（九）实验室（实训场所）内超量存放危险化学品；或大 量使用危险气体且无气体浓度报警措施或通风设施不合格；或 超规使用危险设备尤其是大型设备的。</w:t>
            </w:r>
          </w:p>
        </w:tc>
        <w:tc>
          <w:tcPr>
            <w:tcW w:w="4312" w:type="dxa"/>
            <w:tcBorders>
              <w:tl2br w:val="nil"/>
              <w:tr2bl w:val="nil"/>
            </w:tcBorders>
            <w:noWrap w:val="0"/>
            <w:vAlign w:val="center"/>
          </w:tcPr>
          <w:p>
            <w:pPr>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《中华人民共和国安全生产法》第三十六条；</w:t>
            </w:r>
          </w:p>
          <w:p>
            <w:pPr>
              <w:autoSpaceDE w:val="0"/>
              <w:autoSpaceDN w:val="0"/>
              <w:adjustRightInd w:val="0"/>
              <w:snapToGrid w:val="0"/>
              <w:spacing w:beforeLines="0" w:after="0" w:afterLines="0" w:line="240" w:lineRule="auto"/>
              <w:ind w:left="0" w:hanging="200" w:hangingChars="100"/>
              <w:rPr>
                <w:rFonts w:hint="eastAsia" w:ascii="仿宋_GB2312" w:hAnsi="仿宋_GB2312" w:cs="仿宋_GB2312"/>
                <w:color w:val="000000"/>
                <w:sz w:val="20"/>
                <w:szCs w:val="20"/>
              </w:rPr>
            </w:pPr>
            <w:r>
              <w:rPr>
                <w:rFonts w:hint="eastAsia" w:ascii="仿宋_GB2312" w:hAnsi="仿宋_GB2312" w:cs="仿宋_GB2312"/>
                <w:color w:val="000000"/>
                <w:sz w:val="20"/>
                <w:szCs w:val="20"/>
              </w:rPr>
              <w:t>《建筑设计防火规范（2018年版）》（GB 50016-2014）第8.4.3条；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《化工和危险化学品企业重大生产安全事故隐患判定准则（征求意见稿）》</w:t>
            </w:r>
            <w:r>
              <w:rPr>
                <w:rFonts w:hint="eastAsia" w:ascii="仿宋_GB2312" w:hAnsi="仿宋_GB2312" w:cs="仿宋_GB2312"/>
                <w:color w:val="000000"/>
                <w:sz w:val="20"/>
                <w:szCs w:val="20"/>
              </w:rPr>
              <w:t>第</w:t>
            </w:r>
            <w:r>
              <w:rPr>
                <w:rFonts w:ascii="仿宋_GB2312" w:hAnsi="仿宋_GB2312" w:cs="仿宋_GB2312"/>
                <w:color w:val="000000"/>
                <w:sz w:val="20"/>
                <w:szCs w:val="20"/>
              </w:rPr>
              <w:t>5.4.2</w:t>
            </w:r>
            <w:r>
              <w:rPr>
                <w:rFonts w:hint="eastAsia" w:ascii="仿宋_GB2312" w:hAnsi="仿宋_GB2312" w:cs="仿宋_GB2312"/>
                <w:color w:val="000000"/>
                <w:sz w:val="20"/>
                <w:szCs w:val="20"/>
              </w:rPr>
              <w:t>；</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第6.1、6.2条；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第5.1.7条；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《教育系统重大事故隐患判定指南》第六条（九）</w:t>
            </w:r>
          </w:p>
          <w:p>
            <w:pPr>
              <w:pStyle w:val="19"/>
              <w:widowControl w:val="0"/>
              <w:suppressAutoHyphens/>
              <w:autoSpaceDE w:val="0"/>
              <w:autoSpaceDN w:val="0"/>
              <w:adjustRightInd w:val="0"/>
              <w:snapToGrid w:val="0"/>
              <w:spacing w:before="0" w:beforeLines="0" w:after="0" w:afterLines="0" w:line="240" w:lineRule="auto"/>
              <w:jc w:val="both"/>
              <w:outlineLvl w:val="9"/>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lang w:eastAsia="zh-CN"/>
              </w:rPr>
              <w:t>《实验室危险化学品安全管理要求 第3部分：科研单位》（DB11/T 1191.3-2024）</w:t>
            </w:r>
            <w:r>
              <w:rPr>
                <w:rFonts w:hint="eastAsia" w:ascii="仿宋_GB2312" w:hAnsi="仿宋_GB2312" w:eastAsia="仿宋_GB2312" w:cs="仿宋_GB2312"/>
                <w:color w:val="000000"/>
                <w:kern w:val="2"/>
                <w:sz w:val="20"/>
                <w:szCs w:val="20"/>
              </w:rPr>
              <w:t>第6.1.2、6.1.3、6.1.4条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r>
              <w:rPr>
                <w:rFonts w:hint="eastAsia" w:ascii="仿宋_GB2312" w:hAnsi="仿宋_GB2312" w:cs="仿宋_GB2312"/>
                <w:b/>
                <w:color w:val="000000"/>
                <w:kern w:val="0"/>
                <w:sz w:val="20"/>
                <w:szCs w:val="20"/>
              </w:rPr>
              <w:t>★1；★2</w:t>
            </w: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15.2.09.035</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监控系统类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探测器无现场报警功能，未与风机联锁，信号未传到24h有人值班的房间或相关负责人的移动终端；探测器的终端未设置备用电源。</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各类探测器应有现场报警功能，并应与风机联锁，信号应能传到24h有人值班的房间或相关负责人的移动终端。探测器的终端应设置备用电源，并宜符合GB 16808的要求。</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第6.2条；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第5.1.7条；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第6.1.3条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15.4.04.036</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作业环境类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实验室、危险化学品储存场所未设置通风设施；设置位置和换气次数不符合要求。</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实验室、危险化学品储存场所应设置通风设施，通风设施吸风口宜设在散发气体可能最大或聚集最多的地点。机械通风正常通风换气次数不少于6次/h，事故排风换气次数不应少于12次/h。</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第6.3条；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第5.1.6条；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第6.1.5条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15.3.03.037</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个体防护用品实用类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存在毒性、腐蚀性、刺激性危害的实验室、危险化学品储存场所未设计洗眼器、淋洗器等；防护半径大于15m，洗消水无收集设施。</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存在毒性、腐蚀性、刺激性危害的实验室、危险化学品储存场所应设置洗眼器、淋洗器等安全冲洗装置，其服务半径应不大于 15m，安全冲洗装置宜安放在接近危险的位置，但须考虑到使用设备时冲洗液可能存在四处飞溅的危险或其他危险（例如暴露的有电导体）。洗消水应有收集设施。</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第6.4条；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第5.1.11条；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第6.2.4条;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15.2.03.038</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辅助系统设备设施类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气瓶应配置气瓶柜或气瓶未配备防倒链、防倒栏栅等设备；可燃气体气瓶采用金属防倒链；气瓶位置不避雨通风。</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实验室、危险化学品储存场所的气瓶应配置气瓶柜或气瓶防倒链、防倒栏栅等设备，可燃气体气瓶不应采用金属防倒链，放在室外的气瓶应设置在避雨通风的安全区域。</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第6.5条；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第5.3.7条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第7.2.1条e）</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15.2.11.039</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其他设备设施类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未在实验室、危险化学品储存场所明显和便于取用的位置设置灭火器、灭火毯、消防沙等必要的消防器材。</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应按照实验室、危险化学品储存场所危险化学品的性质及GB 50140的要求，明显和便于取用的位置设置灭火器、灭火毯、消防沙等必要的消防器材。</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第6.6条；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第5.1.12条；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第6.1.7条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15.3.03.040</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个体防护用品使用类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未为作业人员配备个体防护装备；未设置急救箱或急救包。</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应为作业人员配备符合GB39800.1规定的个体防护装备。在实验室方便取用的地点设置急救箱或急救包。有专人适时检查补充,配备物品应包括消毒药剂、烫伤药、创伤药、化学灼伤药等具有针对性疗效的药品以及其他必要的急救药品，并应确保药品在安全有效期内。</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第6.7节；</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第7.5.2条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第6.1.8条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15.2.09.041</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监控系统类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爆炸性气体环境0区～2区或爆炸性粉尘环境20区～22区未使用防爆设备；</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可能散发可燃气体的实验室、危险化学品储存场所的电气设施未采取接地措施</w:t>
            </w:r>
            <w:r>
              <w:rPr>
                <w:rFonts w:hint="eastAsia" w:ascii="仿宋_GB2312" w:hAnsi="仿宋_GB2312" w:cs="仿宋_GB2312"/>
                <w:color w:val="000000"/>
                <w:sz w:val="20"/>
                <w:szCs w:val="20"/>
                <w:lang w:eastAsia="zh-CN"/>
              </w:rPr>
              <w:t>（</w:t>
            </w:r>
            <w:r>
              <w:rPr>
                <w:rFonts w:ascii="仿宋_GB2312" w:hAnsi="仿宋_GB2312" w:eastAsia="仿宋_GB2312" w:cs="仿宋_GB2312"/>
                <w:color w:val="000000"/>
                <w:kern w:val="2"/>
                <w:sz w:val="20"/>
                <w:szCs w:val="20"/>
              </w:rPr>
              <w:t>爆炸危险场所未按标准规范要求安装使用防爆电气设备。</w:t>
            </w:r>
            <w:r>
              <w:rPr>
                <w:rFonts w:hint="eastAsia" w:ascii="仿宋_GB2312" w:hAnsi="仿宋_GB2312" w:cs="仿宋_GB2312"/>
                <w:color w:val="000000"/>
                <w:sz w:val="20"/>
                <w:szCs w:val="20"/>
                <w:lang w:eastAsia="zh-CN"/>
              </w:rPr>
              <w:t>）</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属于爆炸性气体环境 0 区～2 区或爆炸性粉尘环境20区～22区的实验室，包括通风橱、电气仪表等均应使用相应防爆等级的防爆设备；室内通风橱、仪表等电气设备设施均应使用相应防爆等级的防爆设备，通风橱内不应设置或放置插座、插头、接线板。</w:t>
            </w:r>
          </w:p>
          <w:p>
            <w:pPr>
              <w:suppressAutoHyphens/>
              <w:autoSpaceDE w:val="0"/>
              <w:autoSpaceDN w:val="0"/>
              <w:adjustRightInd w:val="0"/>
              <w:snapToGrid w:val="0"/>
              <w:spacing w:beforeLines="0" w:after="0" w:afterLines="0" w:line="240" w:lineRule="auto"/>
              <w:rPr>
                <w:rFonts w:hint="eastAsia" w:ascii="仿宋_GB2312" w:hAnsi="仿宋_GB2312" w:eastAsia="仿宋_GB2312" w:cs="仿宋_GB2312"/>
                <w:color w:val="000000"/>
                <w:kern w:val="2"/>
                <w:sz w:val="20"/>
                <w:szCs w:val="20"/>
              </w:rPr>
            </w:pPr>
            <w:r>
              <w:rPr>
                <w:rFonts w:hint="eastAsia" w:ascii="仿宋_GB2312" w:hAnsi="仿宋_GB2312" w:cs="仿宋_GB2312"/>
                <w:color w:val="000000"/>
                <w:sz w:val="20"/>
                <w:szCs w:val="20"/>
              </w:rPr>
              <w:t>储存易燃易爆危险化学品的储存柜、货架及排风管路等设备设施，可能散发可燃气体的实验室、危险化学品储存场所的电气设施应有良好的接地措施，且电气设施的防爆应符合GB 50058的要求。</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第6.8节；</w:t>
            </w:r>
          </w:p>
          <w:p>
            <w:pPr>
              <w:suppressAutoHyphens/>
              <w:autoSpaceDE w:val="0"/>
              <w:autoSpaceDN w:val="0"/>
              <w:adjustRightInd w:val="0"/>
              <w:snapToGrid w:val="0"/>
              <w:spacing w:beforeLines="0" w:after="0" w:afterLines="0" w:line="240" w:lineRule="auto"/>
              <w:rPr>
                <w:rFonts w:hint="eastAsia" w:ascii="Calibri" w:hAnsi="Calibri" w:cs="Times New Roman"/>
                <w:color w:val="auto"/>
                <w:sz w:val="20"/>
                <w:szCs w:val="20"/>
              </w:rPr>
            </w:pPr>
            <w:r>
              <w:rPr>
                <w:rFonts w:hint="eastAsia" w:ascii="仿宋_GB2312" w:hAnsi="仿宋_GB2312" w:cs="仿宋_GB2312"/>
                <w:color w:val="000000"/>
                <w:sz w:val="20"/>
                <w:szCs w:val="20"/>
                <w:lang w:eastAsia="zh-CN"/>
              </w:rPr>
              <w:t>《化工和危险化学品企业重大生产安全事故隐患判定准则（征求意见稿）》</w:t>
            </w:r>
            <w:r>
              <w:rPr>
                <w:rFonts w:hint="eastAsia" w:ascii="仿宋_GB2312" w:hAnsi="仿宋_GB2312" w:cs="仿宋_GB2312"/>
                <w:color w:val="000000"/>
                <w:sz w:val="20"/>
                <w:szCs w:val="20"/>
              </w:rPr>
              <w:t>第</w:t>
            </w:r>
            <w:r>
              <w:rPr>
                <w:rFonts w:ascii="仿宋_GB2312" w:hAnsi="仿宋_GB2312" w:cs="仿宋_GB2312"/>
                <w:color w:val="000000"/>
                <w:sz w:val="20"/>
                <w:szCs w:val="20"/>
              </w:rPr>
              <w:t>5.4.</w:t>
            </w:r>
            <w:r>
              <w:rPr>
                <w:rFonts w:hint="eastAsia" w:ascii="仿宋_GB2312" w:hAnsi="仿宋_GB2312" w:cs="仿宋_GB2312"/>
                <w:color w:val="000000"/>
                <w:sz w:val="20"/>
                <w:szCs w:val="20"/>
              </w:rPr>
              <w:t>3；</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第5.1.6、5.3.2条；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第6.1.6、6.2.1、8.2.4条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r>
              <w:rPr>
                <w:rFonts w:hint="eastAsia" w:ascii="仿宋_GB2312" w:hAnsi="黑体" w:cs="宋体"/>
                <w:b/>
                <w:kern w:val="0"/>
                <w:sz w:val="20"/>
                <w:szCs w:val="20"/>
              </w:rPr>
              <w:t>★1</w:t>
            </w: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15.2.09.042</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监控系统类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储存场所未配备温、湿度检测仪，未设置视频监控设备，照明、通风等电气设施的开关未设置在门外。</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危险化学品储存场所应配备温、湿度检测仪，设置视频监控设备，照明、通风等电气设施的开关应设置在门外。</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第6.9条；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第6.1.10、5.3.3条；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第6.1.15条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15.2.12.043</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在实验室对危险化学品进行分装、改装和堆积可燃性物品</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不应在实验室对危险化学品进行分装、改装和堆积可燃性物品。</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第8.3.3条;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第8.5.1条；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15.2.12.044</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使用通常用于贮存饮料及生活用品的容器盛放危险化学品。</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不应使用通常用于贮存饮料及生活用品的容器盛放危险化学品。</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第7.1.3条；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第7.1.2条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15.1.07.045</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基础资料类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风险辨识类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使用危险化学品从事科研实验前未开展安全风险辨识、评估。</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使用危险化学品从事科研实验前应开展安全风险辨识、评估。</w:t>
            </w:r>
          </w:p>
        </w:tc>
        <w:tc>
          <w:tcPr>
            <w:tcW w:w="4312" w:type="dxa"/>
            <w:tcBorders>
              <w:tl2br w:val="nil"/>
              <w:tr2bl w:val="nil"/>
            </w:tcBorders>
            <w:noWrap w:val="0"/>
            <w:vAlign w:val="top"/>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第8.1.3条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15.1.07.046</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基础资料类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风险辨识类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科研单位对于涉及国家重点监管危险化工工艺和其它危险工艺的实验装置，未委托专业机构进行风险评估或安全现状评价</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对于涉及国家重点监管危险化工工艺和其它危险工艺的实验装置和危险化学品储存场所，应每3年委托专业机构进行风险评估或安全现状评价，并根据评估结果采取相应措施。</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第8.1.12条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537" w:hRule="atLeast"/>
          <w:jc w:val="center"/>
        </w:trPr>
        <w:tc>
          <w:tcPr>
            <w:tcW w:w="14567" w:type="dxa"/>
            <w:gridSpan w:val="7"/>
            <w:tcBorders>
              <w:tl2br w:val="nil"/>
              <w:tr2bl w:val="nil"/>
            </w:tcBorders>
            <w:shd w:val="clear" w:color="auto" w:fill="95B3D7"/>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r>
              <w:rPr>
                <w:rFonts w:hint="eastAsia" w:ascii="仿宋_GB2312" w:hAnsi="仿宋_GB2312" w:cs="仿宋_GB2312"/>
                <w:b/>
                <w:bCs w:val="0"/>
                <w:color w:val="000000"/>
                <w:kern w:val="0"/>
                <w:sz w:val="20"/>
                <w:szCs w:val="20"/>
                <w:lang w:bidi="ar"/>
              </w:rPr>
              <w:t>储存基本要求</w:t>
            </w: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15.4.05.047</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周边环境类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储存场所贴邻食堂、会议室、活动室等人员较为密集的场所。</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危险化学品储存场所应远离食堂、会议室、活动室等人员较为密集的场所。</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第5.3.1条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15.4.04.048</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作业环境类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储存场所内设置员工宿舍或休息室。</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危险化学品储存场所内不应设置员工宿舍或休息室。</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第5.3.2条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15.4.04.049</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作业环境类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储存场所地面不平整、耐磨、防滑；储存腐蚀性危险化学品的专用储存室地面未做防腐处理；气瓶间的地面会产生火花。</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危险化学品储存场所地面应平整、耐磨、防滑，并应符合下列要求： a） 储存腐蚀性危险化学品的专用储存室地面应做防腐处理； b） 气瓶间的地面应不产生火花。</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第5.3.3条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15.4.04.050</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作业环境类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专用储存室、储存易燃气体、有毒气体的气瓶间内中央空调未设置独立通风系统。</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危险化学品专用储存室、储存易燃气体、有毒气体的气瓶间内不应使用与其他房间相连的中央空调，应设置独立通风系统。</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bookmarkStart w:id="0" w:name="_Hlk223120679"/>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第5.3.4条</w:t>
            </w:r>
            <w:bookmarkEnd w:id="0"/>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15.2.12.051</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危险化学品储存场所内存放普通化学品。</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危险化学品应储存在专用的危险化学品储存场所，危险化学品储存场所内不应存放普通化学品。</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第7.1.1条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15.2.12.052</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使用食品饮料包装容器盛放危险化学品。</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不应使用食品饮料包装容器盛放危险化学品。</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第7.1.3条；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第7.1.2条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15.2.12.053</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危险化学品包装损坏，封口不严密。</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危险化学品包装应完好，封口应严密。</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第7.1.4条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15.2.12.054</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危险化学品储存场所无专人负责管理。</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危险化学品储存场所应由专人负责管理。</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第7.1.5条；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第7.2.1条；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第7.1.3条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15.2.12.055</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储存场所未见储存危险化学品的清单。</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危险化学品储存场所应有储存危险化学品的清单。</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第7.1.6条；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第6.1.10条；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第7.1.4条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15.2.12.056</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禁忌物品同柜储存。</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工业企业实验室未按国家标准分区分类储存危险化学品，超量、超品种储存危险化学品，相互禁配物质混放混存</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专用储存室、储存柜储存危险化学品时，禁忌物品不应同柜储存。</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ascii="仿宋_GB2312" w:hAnsi="仿宋_GB2312" w:cs="仿宋_GB2312"/>
                <w:color w:val="000000"/>
                <w:sz w:val="20"/>
                <w:szCs w:val="20"/>
              </w:rPr>
              <w:t>未按标准规范要求分区分类储存危险化学品；超量、超品种储存危险化学品；相互禁配物质混放混存。</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第7.1.8条；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《化工和危险化学品企业重大生产安全事故隐患判定准则（征求意见稿）》</w:t>
            </w:r>
            <w:r>
              <w:rPr>
                <w:rFonts w:hint="eastAsia" w:ascii="仿宋_GB2312" w:hAnsi="仿宋_GB2312" w:cs="仿宋_GB2312"/>
                <w:color w:val="000000"/>
                <w:sz w:val="20"/>
                <w:szCs w:val="20"/>
              </w:rPr>
              <w:t>第</w:t>
            </w:r>
            <w:r>
              <w:rPr>
                <w:rFonts w:ascii="仿宋_GB2312" w:hAnsi="仿宋_GB2312" w:cs="仿宋_GB2312"/>
                <w:color w:val="000000"/>
                <w:sz w:val="20"/>
                <w:szCs w:val="20"/>
              </w:rPr>
              <w:t>5.5.8</w:t>
            </w:r>
            <w:r>
              <w:rPr>
                <w:rFonts w:hint="eastAsia" w:ascii="仿宋_GB2312" w:hAnsi="仿宋_GB2312" w:cs="仿宋_GB2312"/>
                <w:color w:val="000000"/>
                <w:sz w:val="20"/>
                <w:szCs w:val="20"/>
              </w:rPr>
              <w:t>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第6.1.9条；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第7.1.6条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r>
              <w:rPr>
                <w:rFonts w:hint="eastAsia" w:ascii="仿宋_GB2312" w:hAnsi="仿宋_GB2312" w:cs="仿宋_GB2312"/>
                <w:b/>
                <w:color w:val="000000"/>
                <w:kern w:val="0"/>
                <w:sz w:val="20"/>
                <w:szCs w:val="20"/>
              </w:rPr>
              <w:t>★1</w:t>
            </w: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15.4.04.057</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作业环境类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储存设施被遮挡、占压消防设备、安全设施、安全标志和人员疏散通道。</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危险化学品储存场所内的储存设施不应遮挡、占压消防设备、安全设施、安全标志和人员疏散通道。</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第7.1.7条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15.4.04.058</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作业环境类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储存柜被阳光直晒及靠近暖气等热源，贴邻实验台设置。</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储存柜应避免阳光直晒及靠近暖气等热源，不宜贴邻实验台设置。</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第7.1.9条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15.2.14.059</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其它类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工业企业实验室及储存场所储存液体类危险化学品无防遗洒措施；托盘的容量过小。</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储存液体类危险化学品应有防遗洒措施；托盘存放时，托盘的容量不宜小于托盘中最大容器容积的150%和所有容器容积总和的10%中的最大者。</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第7.1.10条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90"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15.3.14.060</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其它类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汇流排间储存气瓶。</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气体汇流排间不应储存气瓶。确需储存备用气瓶时，该汇流排间所有气瓶计入储存气瓶总数。</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第7.1.11条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第7.4.8条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479" w:hRule="atLeast"/>
          <w:jc w:val="center"/>
        </w:trPr>
        <w:tc>
          <w:tcPr>
            <w:tcW w:w="14567" w:type="dxa"/>
            <w:gridSpan w:val="7"/>
            <w:tcBorders>
              <w:tl2br w:val="nil"/>
              <w:tr2bl w:val="nil"/>
            </w:tcBorders>
            <w:shd w:val="clear" w:color="auto" w:fill="95B3D7"/>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r>
              <w:rPr>
                <w:rFonts w:hint="eastAsia" w:ascii="仿宋_GB2312" w:hAnsi="仿宋_GB2312" w:cs="仿宋_GB2312"/>
                <w:b/>
                <w:bCs w:val="0"/>
                <w:color w:val="000000"/>
                <w:kern w:val="0"/>
                <w:sz w:val="20"/>
                <w:szCs w:val="20"/>
                <w:lang w:bidi="ar"/>
              </w:rPr>
              <w:t>实验室储存</w:t>
            </w: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15.2.12.061</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在实验台、实验台上货架、台下柜储存危险化学品，实验室危险化学品未储存在危险化学品储存柜中。</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实验室危险化学品应储存在危险化学品储存柜中。实验台、实验台上货架、台下柜不应储存危险化学品。</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第7.4.1条；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第7.2.1条f)</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2708"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15.2.12.062</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每间实验室内超量存放的危险化学品放总量</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普通高等学校实验室（实训场所）内超量存放危险化学品</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每间实验室内存放的除压缩气体和液化气体外的危险化学品存放总量不应超过100L或100kg，其中易燃液体类危险化学品的存放总量不应超过50 L或50 kg。</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第六条（九）实验室（实训场所）内超量存放危险化学品</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《教育系统重大事故隐患判定指南》第六条（九）；</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第7.4.2条；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第7.3.3条a);</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第7.2.1条a);</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r>
              <w:rPr>
                <w:rFonts w:hint="eastAsia" w:ascii="仿宋_GB2312" w:hAnsi="仿宋_GB2312" w:cs="仿宋_GB2312"/>
                <w:b/>
                <w:color w:val="000000"/>
                <w:kern w:val="0"/>
                <w:sz w:val="20"/>
                <w:szCs w:val="20"/>
              </w:rPr>
              <w:t>★2</w:t>
            </w: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15.2.11.063</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其他设备设施类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实验室内储存备用气瓶、空瓶，在用气瓶未放置在气瓶柜内。</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实验室内不应储存备用气瓶、空瓶，在用气瓶宜放置在气瓶柜内。</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第8.3.2条；《实验室危险化学品安全管理要求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第5.3.7、7.4.5条；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第6.2.3条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15.2.12.064</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易燃液体类、氧化性和有机过氧化物类危险化学品单一包装容器超量。</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易燃液体类、氧化性和有机过氧化物类危险化学品单一包装容器不应大于25L或25kg。</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 xml:space="preserve">第7.4.4条; </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第7.3.3条a);</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第7.2.1条a)</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1943"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15.2.12.065</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需要低温储存的易燃易爆危险化学品未存放在专用防爆型冰箱内。</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需要低温储存的易燃易爆危险化学品应存放在专用防爆型冰箱内。</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 xml:space="preserve">第7.4.5条; </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第7.3.2条b);</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第7.2.3条a)</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2005"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15.2.12.066</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腐蚀性化学品未单独放在耐腐蚀材料制成的储存柜或容器中。</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腐蚀性化学品宜单独放在耐腐蚀材料制成的储存柜或容器中。</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第7.4.6条；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 xml:space="preserve">第7.3.2条c); </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第7.2.3条b)</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549" w:hRule="atLeast"/>
          <w:jc w:val="center"/>
        </w:trPr>
        <w:tc>
          <w:tcPr>
            <w:tcW w:w="14567" w:type="dxa"/>
            <w:gridSpan w:val="7"/>
            <w:tcBorders>
              <w:tl2br w:val="nil"/>
              <w:tr2bl w:val="nil"/>
            </w:tcBorders>
            <w:shd w:val="clear" w:color="auto" w:fill="95B3D7"/>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r>
              <w:rPr>
                <w:rFonts w:hint="eastAsia" w:ascii="仿宋_GB2312" w:hAnsi="仿宋_GB2312" w:cs="仿宋_GB2312"/>
                <w:b/>
                <w:bCs w:val="0"/>
                <w:color w:val="000000"/>
                <w:kern w:val="0"/>
                <w:sz w:val="20"/>
                <w:szCs w:val="20"/>
                <w:lang w:bidi="ar"/>
              </w:rPr>
              <w:t>危险化学品储存柜</w:t>
            </w: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15.4.04.067</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作业环境类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危险化学品储存柜、气瓶柜放置于办公室、通道和露天存放。储存柜未避免阳光直晒及靠近暖气等热源，贴邻实验台设置储存柜。</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危险化学品储存柜、气瓶柜禁止放置于办公室、通道和露天存放。储存柜应避免阳光直晒及靠近暖气等热源，不宜贴邻实验台设置。</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第7.1.9条；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第7.3.4条；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第7.1.7条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15.2.11.068</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其他设备设施类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危险化学品储存柜未设置有进风口和排风口，不具有强制通风和吸收净化功能。确实不具备设置外部通风条件的储存柜未设置过滤系统。存放剧毒或高毒气体的气瓶柜未连接到通风设施。</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危险化学品储存柜应有进风口和排风口，应具有强制通风和吸收净化功能。确实不具备设置外部通风条件的储存柜应设置过滤系统。存放剧毒或高毒气体的气瓶柜应连接到通风设施。</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第6.10条；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第6.10条；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第6.6.1、6.6.2条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15.2.12.069</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每个储存柜的危险化学品存放总量超过50L或50kg。</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每个储存柜的危险化学品存放总量不应超过50 L或50 kg。</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第7.3.4条；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 xml:space="preserve">第7.2.1条b） </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15.2.12.070</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需低温存放的易燃易爆危险化学品未存放在具有防爆功能的冰箱内。</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需低温存放的易燃易爆危险化学品应存放在具有防爆功能的冰箱内。</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第7.4.5条；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第7.2.3条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15.2.12.071</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腐蚀性化学品未单独存放在具有防腐蚀功能的储存柜内，并未设置防遗撒托盘。</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腐蚀性化学品应单独存放在具有防腐蚀功能的储存柜内，并有防遗撒托盘。</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 xml:space="preserve">第7.4.6条; </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第7.2.3条b）</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15.2.12.072</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爆炸性化学品、易制毒化学品和易制爆危险化学品未与其他危险化学品分开存放。</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ascii="仿宋_GB2312" w:hAnsi="仿宋_GB2312" w:cs="仿宋_GB2312"/>
                <w:color w:val="000000"/>
                <w:sz w:val="20"/>
                <w:szCs w:val="20"/>
              </w:rPr>
            </w:pPr>
            <w:r>
              <w:rPr>
                <w:rFonts w:hint="eastAsia" w:ascii="仿宋_GB2312" w:hAnsi="仿宋_GB2312" w:cs="仿宋_GB2312"/>
                <w:color w:val="000000"/>
                <w:sz w:val="20"/>
                <w:szCs w:val="20"/>
              </w:rPr>
              <w:t>爆炸性化学品、易制毒化学品和易制爆危险化学品应与其他危险化学品分开存放。</w:t>
            </w:r>
          </w:p>
          <w:p>
            <w:pPr>
              <w:pStyle w:val="5"/>
              <w:adjustRightInd w:val="0"/>
              <w:snapToGrid w:val="0"/>
              <w:spacing w:beforeLines="0" w:after="0" w:afterLines="0" w:line="240" w:lineRule="auto"/>
              <w:ind w:firstLine="0" w:firstLineChars="0"/>
              <w:rPr>
                <w:rFonts w:hint="eastAsia" w:ascii="仿宋_GB2312" w:hAnsi="仿宋_GB2312" w:cs="仿宋_GB2312"/>
                <w:color w:val="000000"/>
                <w:sz w:val="20"/>
                <w:szCs w:val="20"/>
              </w:rPr>
            </w:pPr>
            <w:r>
              <w:rPr>
                <w:rFonts w:ascii="仿宋_GB2312" w:hAnsi="仿宋_GB2312" w:eastAsia="仿宋_GB2312" w:cs="仿宋_GB2312"/>
                <w:color w:val="000000"/>
                <w:kern w:val="2"/>
                <w:sz w:val="20"/>
                <w:szCs w:val="20"/>
              </w:rPr>
              <w:t>未按标准规范要求分区分类储存危险化学品</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《危险化学品安全管理条例》第二十四条第二款</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《化工和危险化学品企业重大生产安全事故隐患判定准则（征求意见稿）》</w:t>
            </w:r>
            <w:r>
              <w:rPr>
                <w:rFonts w:hint="eastAsia" w:ascii="仿宋_GB2312" w:hAnsi="仿宋_GB2312" w:cs="仿宋_GB2312"/>
                <w:color w:val="000000"/>
                <w:sz w:val="20"/>
                <w:szCs w:val="20"/>
              </w:rPr>
              <w:t>第</w:t>
            </w:r>
            <w:r>
              <w:rPr>
                <w:rFonts w:ascii="仿宋_GB2312" w:hAnsi="仿宋_GB2312" w:cs="仿宋_GB2312"/>
                <w:color w:val="000000"/>
                <w:sz w:val="20"/>
                <w:szCs w:val="20"/>
              </w:rPr>
              <w:t>5.5.8</w:t>
            </w:r>
            <w:r>
              <w:rPr>
                <w:rFonts w:hint="eastAsia" w:ascii="仿宋_GB2312" w:hAnsi="仿宋_GB2312" w:cs="仿宋_GB2312"/>
                <w:color w:val="000000"/>
                <w:sz w:val="20"/>
                <w:szCs w:val="20"/>
              </w:rPr>
              <w:t>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r>
              <w:rPr>
                <w:rFonts w:hint="eastAsia" w:ascii="仿宋_GB2312" w:hAnsi="仿宋_GB2312" w:cs="仿宋_GB2312"/>
                <w:b/>
                <w:color w:val="000000"/>
                <w:kern w:val="0"/>
                <w:sz w:val="20"/>
                <w:szCs w:val="20"/>
              </w:rPr>
              <w:t>★1</w:t>
            </w: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15.2.12.073</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爆炸品、剧毒化学品未单独存放在双锁的专用储存柜中，未实行“五双”制度管理。</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爆炸品、剧毒化学品应单独存放在双锁的专用储存柜中，实行“五双”（双人验收、双人保管、双人发货、双把锁、双本账）制度管理。</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第8.2.3条；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第6.1.6条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15.2.11.074</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其他设备设施类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存放易燃易爆危险化学品的储存柜未设置导出静电的接地装置，未可靠接地。</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存放易燃易爆危险化学品的储存柜应有导出静电的接地装置并可靠接地。</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第6.8条;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第6.6.1条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15.2.12.075</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储存液体类危险化学品未设置防遗洒措施；托盘存放时，托盘的容量过小。</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储存液体类危险化学品应有防遗洒措施；托盘存放时，托盘的容量不宜小于托盘中最大容器容积的150%和所有容器容积总和的10%中的最大者。或托盘的剩余容量不应小于本托盘中最大容器的容量。</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第7.1.10条；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第7.2.3条d）</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15.4.03.076</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标志及标识类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在储存柜上未张贴安全警示标志和危险化学品清单。</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应根据所储存的危险化学品的危险特性，在储存柜上张贴安全警示标志和危险化学品清单。</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第4.4.3条；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第4.5.4条；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第4.3.2条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15.3.02.077</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单独的危险化学品试剂瓶未放入专用储存柜中，随意存放。</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单独的危险化学品试剂瓶应放入专用储存柜中，禁止随意存放。</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第7.4.1条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15.4.04.078</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作业环境类</w:t>
            </w:r>
          </w:p>
        </w:tc>
        <w:tc>
          <w:tcPr>
            <w:tcW w:w="3225" w:type="dxa"/>
            <w:tcBorders>
              <w:tl2br w:val="nil"/>
              <w:tr2bl w:val="nil"/>
            </w:tcBorders>
            <w:noWrap w:val="0"/>
            <w:vAlign w:val="top"/>
          </w:tcPr>
          <w:p>
            <w:pPr>
              <w:suppressAutoHyphens/>
              <w:autoSpaceDE w:val="0"/>
              <w:autoSpaceDN w:val="0"/>
              <w:adjustRightInd w:val="0"/>
              <w:snapToGrid w:val="0"/>
              <w:spacing w:beforeLines="0" w:after="0" w:afterLines="0" w:line="240" w:lineRule="auto"/>
              <w:rPr>
                <w:rFonts w:hint="eastAsia" w:ascii="仿宋_GB2312" w:hAnsi="仿宋_GB2312" w:eastAsia="仿宋_GB2312" w:cs="仿宋_GB2312"/>
                <w:color w:val="000000"/>
                <w:sz w:val="20"/>
                <w:szCs w:val="20"/>
                <w:lang w:eastAsia="zh-CN"/>
              </w:rPr>
            </w:pPr>
            <w:r>
              <w:rPr>
                <w:rFonts w:hint="eastAsia" w:ascii="仿宋_GB2312" w:hAnsi="仿宋_GB2312" w:cs="仿宋_GB2312"/>
                <w:color w:val="000000"/>
                <w:sz w:val="20"/>
                <w:szCs w:val="20"/>
              </w:rPr>
              <w:t>科研单位</w:t>
            </w:r>
            <w:r>
              <w:rPr>
                <w:rFonts w:hint="eastAsia" w:ascii="仿宋_GB2312" w:hAnsi="仿宋_GB2312" w:cs="仿宋_GB2312"/>
                <w:color w:val="000000"/>
                <w:sz w:val="20"/>
                <w:szCs w:val="20"/>
                <w:lang w:eastAsia="zh-CN"/>
              </w:rPr>
              <w:t>在</w:t>
            </w:r>
            <w:r>
              <w:rPr>
                <w:rFonts w:hint="eastAsia" w:ascii="仿宋_GB2312" w:hAnsi="仿宋_GB2312" w:cs="仿宋_GB2312"/>
                <w:color w:val="000000"/>
                <w:sz w:val="20"/>
                <w:szCs w:val="20"/>
              </w:rPr>
              <w:t>下列实验室内设置危险化学品储存柜： a) 涉及危险化工工艺的实验室； b) 具有火灾、爆炸风险的实验室； c) 可能产生高温的实验室</w:t>
            </w:r>
            <w:r>
              <w:rPr>
                <w:rFonts w:hint="eastAsia" w:ascii="仿宋_GB2312" w:hAnsi="仿宋_GB2312" w:cs="仿宋_GB2312"/>
                <w:color w:val="000000"/>
                <w:sz w:val="20"/>
                <w:szCs w:val="20"/>
                <w:lang w:eastAsia="zh-CN"/>
              </w:rPr>
              <w:t>。</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下列实验室内不宜设置危险化学品储存柜： a) 涉及危险化工工艺的实验室； b) 具有火灾、爆炸风险的实验室； c) 可能产生高温的实验室。</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第7.2.5条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561" w:hRule="atLeast"/>
          <w:jc w:val="center"/>
        </w:trPr>
        <w:tc>
          <w:tcPr>
            <w:tcW w:w="14567" w:type="dxa"/>
            <w:gridSpan w:val="7"/>
            <w:tcBorders>
              <w:tl2br w:val="nil"/>
              <w:tr2bl w:val="nil"/>
            </w:tcBorders>
            <w:shd w:val="clear" w:color="auto" w:fill="95B3D7"/>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r>
              <w:rPr>
                <w:rFonts w:hint="eastAsia" w:ascii="仿宋_GB2312" w:hAnsi="仿宋_GB2312" w:cs="仿宋_GB2312"/>
                <w:b/>
                <w:bCs w:val="0"/>
                <w:color w:val="000000"/>
                <w:kern w:val="0"/>
                <w:sz w:val="20"/>
                <w:szCs w:val="20"/>
                <w:lang w:bidi="ar"/>
              </w:rPr>
              <w:t>专用储存室</w:t>
            </w:r>
          </w:p>
        </w:tc>
      </w:tr>
      <w:tr>
        <w:trPr>
          <w:trHeight w:val="4068"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15.4.01.079</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作业环境类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未按存放量设置专用储存室。</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下列情况应设置专用储存室：</w:t>
            </w:r>
          </w:p>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a） 易燃液体类危险化学品存放总量不超过 0.5 t或一昼夜使用量；</w:t>
            </w:r>
          </w:p>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b） 氧化性物质和有机过氧化物类危险化学品存放总量 不超过0.5 t或一昼夜使用量；</w:t>
            </w:r>
          </w:p>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c） 腐蚀类危险化学品存放总量不超过1 t或一昼夜使用量。</w:t>
            </w:r>
          </w:p>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d）在不违反危险化学品储存禁忌规定的情况下，单一储存室内存储的危险化学品为多品种时，按照式（1）计算，a 的值小于 1。</w:t>
            </w:r>
          </w:p>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a = q1/Q1 + q2/Q2 + ...+ qn/Qn ...... （1）</w:t>
            </w:r>
          </w:p>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式中：q1,q2,…,qn ——每类危险化学品的实际存放量；</w:t>
            </w:r>
          </w:p>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Q1,Q2,…,Qn ——每类危险化学品相对应的最大存放量。</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第7.3.1、7.1.12条；</w:t>
            </w:r>
          </w:p>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第6.2.1条；</w:t>
            </w:r>
          </w:p>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第7.3.1条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1748"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15.4.01.080</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平面布置类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危险化学品的单一包装超50 L或50 kg。</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危险化学品的单一包装不应超50 L或50 kg。</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第7.3.2条；</w:t>
            </w:r>
          </w:p>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第6.2.2条；</w:t>
            </w:r>
          </w:p>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第7.3.2条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1436"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15.4.01.081</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平面布置类类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一个防火分区内布置2间及以上危险化学品专用储存室时，危险化学品储存总量未合并计算，并超过1间危险化学品专用储存室的存放总量要求。</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一个防火分区内布置2间及以上危险化学品专用储存室时，危险化学品储存总量应合并计算，并不应超过1间危险化学品专用储存室的存放总量要求。</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第7.3.3条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1165"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15.4.04.082</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作业环境类类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堆垛存放时，堆码未整齐、牢固、无倒置，堆垛之间未保持1 m以上的距离，堆垛与墙、柱间距未保持30cm以上的距离。</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堆垛存放时，堆码应整齐、牢固、无倒置，堆垛之间应保持1m以上的距离，堆垛与墙、柱间距应保持30cm以上的距离。</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《危险化学品仓库储存通则》(GB15603-2022)6.2.5条b)c)d)；</w:t>
            </w:r>
          </w:p>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第7.3.4条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1721"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15.2.12.083</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危险化学品直接与地面接触，垫底高度小于10cm。</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危险化学品不应直接与地面接触，垫底高度不应小于10 cm。</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《危险化学品仓库储存通则》（GB15603-2022）第6.2.2条;</w:t>
            </w:r>
          </w:p>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第7.3.5条；</w:t>
            </w:r>
          </w:p>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第7.3.4条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112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15.2.11.084</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其他设备设施类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货架未采取固定措施。</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采用货架存放时货架应采取固定措施。</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eastAsia="仿宋_GB2312" w:cs="仿宋_GB2312"/>
                <w:color w:val="000000"/>
                <w:sz w:val="20"/>
                <w:szCs w:val="20"/>
                <w:lang w:eastAsia="zh-CN"/>
              </w:rPr>
            </w:pPr>
            <w:r>
              <w:rPr>
                <w:rFonts w:hint="eastAsia" w:ascii="仿宋_GB2312" w:hAnsi="仿宋_GB2312" w:cs="仿宋_GB2312"/>
                <w:color w:val="000000"/>
                <w:sz w:val="20"/>
                <w:szCs w:val="20"/>
              </w:rPr>
              <w:t>《危险化学品储存场所建设及储存安全要求》（DB11/T 755）第5.2.3条</w:t>
            </w:r>
            <w:r>
              <w:rPr>
                <w:rFonts w:hint="eastAsia" w:ascii="仿宋_GB2312" w:hAnsi="仿宋_GB2312" w:cs="仿宋_GB2312"/>
                <w:color w:val="000000"/>
                <w:sz w:val="20"/>
                <w:szCs w:val="20"/>
                <w:lang w:eastAsia="zh-CN"/>
              </w:rPr>
              <w:t>；</w:t>
            </w:r>
          </w:p>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第7.3.6条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1145"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15.4.04.085</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作业环境类类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储存室如与其他建筑物贴邻设置时，有门、窗与相邻建筑物相通。</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储存室如与其他建筑物贴邻设置时，不应有门、窗与相邻建筑物相通。</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第5.3.5、5.3.6条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1523"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15.4.03.086</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标志及标识类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储存室外未设置明显的安全警示标志。</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储存室外应设置明显的安全警示标志。</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第6.8.3、8.1.16条；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第4.5.3条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1995"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15.2.11.087</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其他设备设施类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储存室未设防爆型通风设施，未在储存间外设置事故通风紧急开关。</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储存室应设防爆型通风设施，并在储存间外设置事故通风紧急开关。</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《安全生产等级评定技术规范 第2部分：安全生产通用要求》（DB11/T 1322.2-2017）第3.8.4.6条；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第6.5.5条；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第6.9条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982"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15.2.11.088</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其他设备设施类</w:t>
            </w:r>
          </w:p>
        </w:tc>
        <w:tc>
          <w:tcPr>
            <w:tcW w:w="3225" w:type="dxa"/>
            <w:tcBorders>
              <w:tl2br w:val="nil"/>
              <w:tr2bl w:val="nil"/>
            </w:tcBorders>
            <w:noWrap w:val="0"/>
            <w:vAlign w:val="top"/>
          </w:tcPr>
          <w:p>
            <w:pPr>
              <w:suppressAutoHyphens/>
              <w:autoSpaceDE w:val="0"/>
              <w:autoSpaceDN w:val="0"/>
              <w:adjustRightInd w:val="0"/>
              <w:snapToGrid w:val="0"/>
              <w:spacing w:beforeLines="0" w:after="0" w:afterLines="0" w:line="240" w:lineRule="auto"/>
              <w:rPr>
                <w:rFonts w:hint="eastAsia" w:ascii="仿宋_GB2312" w:hAnsi="仿宋_GB2312" w:eastAsia="仿宋_GB2312" w:cs="仿宋_GB2312"/>
                <w:color w:val="000000"/>
                <w:sz w:val="20"/>
                <w:szCs w:val="20"/>
                <w:lang w:eastAsia="zh-CN"/>
              </w:rPr>
            </w:pPr>
            <w:r>
              <w:rPr>
                <w:rFonts w:hint="eastAsia" w:ascii="仿宋_GB2312" w:hAnsi="仿宋_GB2312" w:cs="仿宋_GB2312"/>
                <w:color w:val="000000"/>
                <w:sz w:val="20"/>
                <w:szCs w:val="20"/>
              </w:rPr>
              <w:t>储存室内使用与其他房间相连的中央空调，未设置独立通风系统</w:t>
            </w:r>
            <w:r>
              <w:rPr>
                <w:rFonts w:hint="eastAsia" w:ascii="仿宋_GB2312" w:hAnsi="仿宋_GB2312" w:cs="仿宋_GB2312"/>
                <w:color w:val="000000"/>
                <w:sz w:val="20"/>
                <w:szCs w:val="20"/>
                <w:lang w:eastAsia="zh-CN"/>
              </w:rPr>
              <w:t>。</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储存室内不应使用与其他房间相连的中央空调，应设置独立通风系统。</w:t>
            </w:r>
          </w:p>
        </w:tc>
        <w:tc>
          <w:tcPr>
            <w:tcW w:w="4312" w:type="dxa"/>
            <w:tcBorders>
              <w:tl2br w:val="nil"/>
              <w:tr2bl w:val="nil"/>
            </w:tcBorders>
            <w:noWrap w:val="0"/>
            <w:vAlign w:val="top"/>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第5.3.4条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1461"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15.2.11.089</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其他设备设施类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危险化学品专用储存室内应设置温、湿度检测仪。存储对温度或/和湿度有特殊要求的危险化学品时未设置相应的温度或/和湿度检测和调节设备设施。</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危险化学品专用储存室内应设置温、湿度检测仪。存储对温度或/和湿度有特殊要求的危险化学品时，专用储存室内应按照GB 17914设置相应的温度或/和湿度检测和调节设备设施。</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eastAsia="仿宋_GB2312" w:cs="仿宋_GB2312"/>
                <w:color w:val="000000"/>
                <w:sz w:val="20"/>
                <w:szCs w:val="20"/>
                <w:lang w:eastAsia="zh-CN"/>
              </w:rPr>
            </w:pPr>
            <w:r>
              <w:rPr>
                <w:rFonts w:hint="eastAsia" w:ascii="仿宋_GB2312" w:hAnsi="仿宋_GB2312" w:cs="仿宋_GB2312"/>
                <w:color w:val="000000"/>
                <w:sz w:val="20"/>
                <w:szCs w:val="20"/>
              </w:rPr>
              <w:t>《易燃易爆性商品储存养护技术条件》（GB 17914-2013）</w:t>
            </w:r>
            <w:r>
              <w:rPr>
                <w:rFonts w:hint="eastAsia" w:ascii="仿宋_GB2312" w:hAnsi="仿宋_GB2312" w:cs="仿宋_GB2312"/>
                <w:color w:val="000000"/>
                <w:sz w:val="20"/>
                <w:szCs w:val="20"/>
                <w:lang w:eastAsia="zh-CN"/>
              </w:rPr>
              <w:t>；</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第6.4.3条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943"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15.2.11.090</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其他设备设施类</w:t>
            </w:r>
          </w:p>
        </w:tc>
        <w:tc>
          <w:tcPr>
            <w:tcW w:w="3225" w:type="dxa"/>
            <w:tcBorders>
              <w:tl2br w:val="nil"/>
              <w:tr2bl w:val="nil"/>
            </w:tcBorders>
            <w:noWrap w:val="0"/>
            <w:vAlign w:val="top"/>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储存室未配备防爆型电气设备，如防爆灯、防爆开关、防爆插座等。</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储存室应配备防爆型电气设备，如防爆灯、防爆开关、防爆插座等。</w:t>
            </w:r>
          </w:p>
        </w:tc>
        <w:tc>
          <w:tcPr>
            <w:tcW w:w="4312" w:type="dxa"/>
            <w:tcBorders>
              <w:tl2br w:val="nil"/>
              <w:tr2bl w:val="nil"/>
            </w:tcBorders>
            <w:noWrap w:val="0"/>
            <w:vAlign w:val="top"/>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第6.4.1条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1380"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15.2.11.091</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其他设备设施类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eastAsia="仿宋_GB2312" w:cs="仿宋_GB2312"/>
                <w:color w:val="000000"/>
                <w:sz w:val="20"/>
                <w:szCs w:val="20"/>
                <w:lang w:eastAsia="zh-CN"/>
              </w:rPr>
            </w:pPr>
            <w:r>
              <w:rPr>
                <w:rFonts w:hint="eastAsia" w:ascii="仿宋_GB2312" w:hAnsi="仿宋_GB2312" w:cs="仿宋_GB2312"/>
                <w:color w:val="000000"/>
                <w:sz w:val="20"/>
                <w:szCs w:val="20"/>
              </w:rPr>
              <w:t>在爆炸危险</w:t>
            </w:r>
            <w:r>
              <w:rPr>
                <w:rFonts w:hint="eastAsia" w:ascii="仿宋_GB2312" w:hAnsi="仿宋_GB2312" w:cs="仿宋_GB2312"/>
                <w:color w:val="000000"/>
                <w:sz w:val="20"/>
                <w:szCs w:val="20"/>
                <w:lang w:eastAsia="zh-CN"/>
              </w:rPr>
              <w:t>场所的</w:t>
            </w:r>
            <w:r>
              <w:rPr>
                <w:rFonts w:hint="eastAsia" w:ascii="仿宋_GB2312" w:hAnsi="仿宋_GB2312" w:cs="仿宋_GB2312"/>
                <w:color w:val="000000"/>
                <w:sz w:val="20"/>
                <w:szCs w:val="20"/>
              </w:rPr>
              <w:t>储存室设置非防爆的配电盒、配电箱以及其它非防爆电器</w:t>
            </w:r>
            <w:r>
              <w:rPr>
                <w:rFonts w:hint="eastAsia" w:ascii="仿宋_GB2312" w:hAnsi="仿宋_GB2312" w:cs="仿宋_GB2312"/>
                <w:color w:val="000000"/>
                <w:sz w:val="20"/>
                <w:szCs w:val="20"/>
                <w:lang w:eastAsia="zh-CN"/>
              </w:rPr>
              <w:t>。</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ascii="仿宋_GB2312" w:hAnsi="仿宋_GB2312" w:cs="仿宋_GB2312"/>
                <w:color w:val="000000"/>
                <w:sz w:val="20"/>
                <w:szCs w:val="20"/>
              </w:rPr>
            </w:pPr>
            <w:r>
              <w:rPr>
                <w:rFonts w:hint="eastAsia" w:ascii="仿宋_GB2312" w:hAnsi="仿宋_GB2312" w:cs="仿宋_GB2312"/>
                <w:color w:val="000000"/>
                <w:sz w:val="20"/>
                <w:szCs w:val="20"/>
              </w:rPr>
              <w:t>不应在储存室设置非防爆的配电盒、配电箱以及其它非防爆电器。</w:t>
            </w:r>
          </w:p>
          <w:p>
            <w:pPr>
              <w:suppressAutoHyphens/>
              <w:autoSpaceDE w:val="0"/>
              <w:autoSpaceDN w:val="0"/>
              <w:adjustRightInd w:val="0"/>
              <w:snapToGrid w:val="0"/>
              <w:spacing w:beforeLines="0" w:after="0" w:afterLines="0" w:line="240" w:lineRule="auto"/>
              <w:jc w:val="both"/>
              <w:rPr>
                <w:rFonts w:hint="eastAsia" w:ascii="Calibri" w:hAnsi="Calibri" w:cs="Times New Roman"/>
                <w:color w:val="auto"/>
                <w:sz w:val="20"/>
                <w:szCs w:val="20"/>
              </w:rPr>
            </w:pPr>
            <w:r>
              <w:rPr>
                <w:rFonts w:ascii="仿宋_GB2312" w:hAnsi="仿宋_GB2312" w:cs="仿宋_GB2312"/>
                <w:color w:val="000000"/>
                <w:sz w:val="20"/>
                <w:szCs w:val="20"/>
              </w:rPr>
              <w:t>爆炸危险场所未按标准规范要求安装使用防爆电气设备。</w:t>
            </w:r>
          </w:p>
        </w:tc>
        <w:tc>
          <w:tcPr>
            <w:tcW w:w="4312" w:type="dxa"/>
            <w:tcBorders>
              <w:tl2br w:val="nil"/>
              <w:tr2bl w:val="nil"/>
            </w:tcBorders>
            <w:noWrap w:val="0"/>
            <w:vAlign w:val="top"/>
          </w:tcPr>
          <w:p>
            <w:pPr>
              <w:suppressAutoHyphens/>
              <w:autoSpaceDE w:val="0"/>
              <w:autoSpaceDN w:val="0"/>
              <w:adjustRightInd w:val="0"/>
              <w:snapToGrid w:val="0"/>
              <w:spacing w:beforeLines="0" w:after="0" w:afterLines="0" w:line="240" w:lineRule="auto"/>
              <w:rPr>
                <w:rFonts w:hint="eastAsia" w:ascii="仿宋_GB2312" w:hAnsi="仿宋_GB2312" w:eastAsia="仿宋_GB2312" w:cs="仿宋_GB2312"/>
                <w:color w:val="000000"/>
                <w:sz w:val="20"/>
                <w:szCs w:val="20"/>
                <w:lang w:eastAsia="zh-CN"/>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第6.8条</w:t>
            </w:r>
            <w:r>
              <w:rPr>
                <w:rFonts w:hint="eastAsia" w:ascii="仿宋_GB2312" w:hAnsi="仿宋_GB2312" w:cs="仿宋_GB2312"/>
                <w:color w:val="000000"/>
                <w:sz w:val="20"/>
                <w:szCs w:val="20"/>
                <w:lang w:eastAsia="zh-CN"/>
              </w:rPr>
              <w:t>；</w:t>
            </w:r>
          </w:p>
          <w:p>
            <w:pPr>
              <w:suppressAutoHyphens/>
              <w:autoSpaceDE w:val="0"/>
              <w:autoSpaceDN w:val="0"/>
              <w:adjustRightInd w:val="0"/>
              <w:snapToGrid w:val="0"/>
              <w:spacing w:beforeLines="0" w:after="0" w:afterLines="0" w:line="240" w:lineRule="auto"/>
              <w:rPr>
                <w:rFonts w:hint="eastAsia" w:ascii="Calibri" w:hAnsi="Calibri" w:cs="Times New Roman"/>
                <w:color w:val="auto"/>
                <w:sz w:val="20"/>
                <w:szCs w:val="20"/>
              </w:rPr>
            </w:pPr>
            <w:r>
              <w:rPr>
                <w:rFonts w:hint="eastAsia" w:ascii="仿宋_GB2312" w:hAnsi="仿宋_GB2312" w:cs="仿宋_GB2312"/>
                <w:color w:val="000000"/>
                <w:sz w:val="20"/>
                <w:szCs w:val="20"/>
                <w:lang w:eastAsia="zh-CN"/>
              </w:rPr>
              <w:t>《化工和危险化学品企业重大生产安全事故隐患判定准则（征求意见稿）》</w:t>
            </w:r>
            <w:r>
              <w:rPr>
                <w:rFonts w:hint="eastAsia" w:ascii="仿宋_GB2312" w:hAnsi="仿宋_GB2312" w:cs="仿宋_GB2312"/>
                <w:color w:val="000000"/>
                <w:sz w:val="20"/>
                <w:szCs w:val="20"/>
              </w:rPr>
              <w:t>第</w:t>
            </w:r>
            <w:r>
              <w:rPr>
                <w:rFonts w:ascii="仿宋_GB2312" w:hAnsi="仿宋_GB2312" w:cs="仿宋_GB2312"/>
                <w:color w:val="000000"/>
                <w:sz w:val="20"/>
                <w:szCs w:val="20"/>
              </w:rPr>
              <w:t>5.4.</w:t>
            </w:r>
            <w:r>
              <w:rPr>
                <w:rFonts w:hint="eastAsia" w:ascii="仿宋_GB2312" w:hAnsi="仿宋_GB2312" w:cs="仿宋_GB2312"/>
                <w:color w:val="000000"/>
                <w:sz w:val="20"/>
                <w:szCs w:val="20"/>
              </w:rPr>
              <w:t>3条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r>
              <w:rPr>
                <w:rFonts w:hint="eastAsia" w:ascii="仿宋_GB2312" w:hAnsi="黑体" w:cs="宋体"/>
                <w:b/>
                <w:kern w:val="0"/>
                <w:sz w:val="20"/>
                <w:szCs w:val="20"/>
              </w:rPr>
              <w:t>★1</w:t>
            </w:r>
          </w:p>
        </w:tc>
      </w:tr>
      <w:tr>
        <w:trPr>
          <w:trHeight w:val="514" w:hRule="atLeast"/>
          <w:jc w:val="center"/>
        </w:trPr>
        <w:tc>
          <w:tcPr>
            <w:tcW w:w="14567" w:type="dxa"/>
            <w:gridSpan w:val="7"/>
            <w:tcBorders>
              <w:tl2br w:val="nil"/>
              <w:tr2bl w:val="nil"/>
            </w:tcBorders>
            <w:shd w:val="clear" w:color="auto" w:fill="95B3D7"/>
            <w:noWrap w:val="0"/>
            <w:vAlign w:val="center"/>
          </w:tcPr>
          <w:p>
            <w:pPr>
              <w:widowControl/>
              <w:suppressAutoHyphens/>
              <w:adjustRightInd w:val="0"/>
              <w:snapToGrid w:val="0"/>
              <w:spacing w:beforeLines="0" w:after="0" w:afterLines="0" w:line="240" w:lineRule="auto"/>
              <w:jc w:val="center"/>
              <w:rPr>
                <w:rFonts w:hint="eastAsia" w:ascii="仿宋_GB2312" w:hAnsi="黑体" w:cs="宋体"/>
                <w:bCs/>
                <w:kern w:val="0"/>
                <w:sz w:val="20"/>
                <w:szCs w:val="20"/>
              </w:rPr>
            </w:pPr>
            <w:r>
              <w:rPr>
                <w:rFonts w:hint="eastAsia" w:ascii="仿宋_GB2312" w:hAnsi="黑体" w:cs="宋体"/>
                <w:bCs/>
                <w:kern w:val="0"/>
                <w:sz w:val="20"/>
                <w:szCs w:val="20"/>
              </w:rPr>
              <w:t>气瓶间</w:t>
            </w: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15.2.11.092</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其他设备设施类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未按存放量设置气瓶室。</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下列情况应设置气瓶室:</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a） 易燃气体存放总量 36 Nm3（如工作压力 15 MPa 时相当于 40 L 的 6 瓶）以下或不超过一昼夜使用量；</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b） 非易燃无毒气体存放总量 60 Nm3（如工作压力 15 MPa 时相当于 40 L 的 10 瓶）以下或不超过一昼夜使用量；</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c）在不违反危险化学品储存禁忌规定的情况下，单一气瓶室内存储的气瓶为多品种时，按照式（1）计算，a的值小于 1。</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a = q1/Q1 + q2/Q2 + ...+ qn/Qn ...... （1）</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式中：q1,q2,…,qn ——每类危险化学品的实际存放量；</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Q1,Q2,…,Qn ——每类危险化学品相对应的最大存放量。</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d） 一个防火分区内布置2间及以上危险化学品气瓶间时，危险化学品储存总量应合并计算，并不应超过1间危险化学品气瓶间的存放总量要求。</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《安全生产等级评定技术规范 第2部分：安全生产通用要求》（DB11/T 1322.2-2017）第3.8.1.10条；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第7.1.12条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15.2.11.093</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其他设备设施类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气瓶间未单独设置，与其他建筑物贴邻设置时，有门、窗相通。</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气瓶间应单独设置，与其他建筑物贴邻设置时，不应有门、窗相通。</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第5.3.6条a）</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15.2.11.094</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其他设备设施类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使用气体未配置气瓶柜或气瓶防倒链、防倒栏栅等设备。备用气瓶、空瓶存放在实验室内。</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使用气体应配置气瓶柜或气瓶防倒链、防倒栏栅等设备。备用气瓶、空瓶不应存放在实验室内。</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《气瓶搬运、装卸、储存和使用安全规定》（GB /T 34525-2017）第8.2.8条；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第6.2.3条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15.2.11.095</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其他设备设施类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实验区内设置氢气、乙炔、环氧乙烷气瓶，未设置在专用防爆柜中，未设置可燃气体浓度检测报警器，其排风管未使用不燃材料，并未直接通向室外安全地点。</w:t>
            </w:r>
          </w:p>
          <w:p>
            <w:pPr>
              <w:suppressAutoHyphens/>
              <w:autoSpaceDE w:val="0"/>
              <w:autoSpaceDN w:val="0"/>
              <w:adjustRightInd w:val="0"/>
              <w:snapToGrid w:val="0"/>
              <w:spacing w:beforeLines="0" w:after="0" w:afterLines="0" w:line="240" w:lineRule="auto"/>
              <w:rPr>
                <w:rFonts w:hint="eastAsia" w:ascii="仿宋_GB2312" w:hAnsi="仿宋_GB2312" w:eastAsia="仿宋_GB2312" w:cs="仿宋_GB2312"/>
                <w:color w:val="000000"/>
                <w:sz w:val="20"/>
                <w:szCs w:val="20"/>
                <w:lang w:eastAsia="zh-CN"/>
              </w:rPr>
            </w:pPr>
            <w:r>
              <w:rPr>
                <w:rFonts w:hint="eastAsia" w:ascii="仿宋_GB2312" w:hAnsi="仿宋_GB2312" w:cs="仿宋_GB2312"/>
                <w:color w:val="000000"/>
                <w:sz w:val="20"/>
                <w:szCs w:val="20"/>
              </w:rPr>
              <w:t>工业企业气瓶柜未设置可燃气体浓度检测报警器</w:t>
            </w:r>
            <w:r>
              <w:rPr>
                <w:rFonts w:hint="eastAsia" w:ascii="仿宋_GB2312" w:hAnsi="仿宋_GB2312" w:cs="仿宋_GB2312"/>
                <w:color w:val="000000"/>
                <w:sz w:val="20"/>
                <w:szCs w:val="20"/>
                <w:lang w:eastAsia="zh-CN"/>
              </w:rPr>
              <w:t>。</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实验区内禁止设置氢气、乙炔、环氧乙烷气瓶，必须设置时，应设置在专用防爆柜中，并设置可燃气体浓度检测报警器，其排风管应使用不燃材料，并应直接通向室外安全地点。</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ascii="仿宋_GB2312" w:hAnsi="仿宋_GB2312" w:cs="仿宋_GB2312"/>
                <w:color w:val="000000"/>
                <w:sz w:val="20"/>
                <w:szCs w:val="20"/>
              </w:rPr>
              <w:t>存在可燃或有毒气体泄漏风险的场所未按设计要求设置气体探测器或气体探测器功能失效；GDS未投入使用。</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《石油化工可燃气体和有毒气体检测报警设计标准》GB/T50493-2019 3 基本规定：3.0.1-3.0.5；</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第6.2.4条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《化工和危险化学品企业重大生产安全事故隐患判定准则（征求意见稿）》</w:t>
            </w:r>
            <w:r>
              <w:rPr>
                <w:rFonts w:hint="eastAsia" w:ascii="仿宋_GB2312" w:hAnsi="仿宋_GB2312" w:cs="仿宋_GB2312"/>
                <w:color w:val="000000"/>
                <w:sz w:val="20"/>
                <w:szCs w:val="20"/>
              </w:rPr>
              <w:t>第</w:t>
            </w:r>
            <w:r>
              <w:rPr>
                <w:rFonts w:ascii="仿宋_GB2312" w:hAnsi="仿宋_GB2312" w:cs="仿宋_GB2312"/>
                <w:color w:val="000000"/>
                <w:sz w:val="20"/>
                <w:szCs w:val="20"/>
              </w:rPr>
              <w:t>5.4.2</w:t>
            </w:r>
            <w:r>
              <w:rPr>
                <w:rFonts w:hint="eastAsia" w:ascii="仿宋_GB2312" w:hAnsi="仿宋_GB2312" w:cs="仿宋_GB2312"/>
                <w:color w:val="000000"/>
                <w:sz w:val="20"/>
                <w:szCs w:val="20"/>
              </w:rPr>
              <w:t>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r>
              <w:rPr>
                <w:rFonts w:hint="eastAsia" w:ascii="仿宋_GB2312" w:hAnsi="仿宋_GB2312" w:cs="仿宋_GB2312"/>
                <w:b/>
                <w:color w:val="000000"/>
                <w:kern w:val="0"/>
                <w:sz w:val="20"/>
                <w:szCs w:val="20"/>
              </w:rPr>
              <w:t>★1</w:t>
            </w: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15.2.11.096</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其他设备设施类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室内气瓶室未设通风设施，并在气瓶间外未设置事故通风紧急开关。存放剧毒或高毒气体的气瓶柜未连接到通风设施。</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室内气瓶室应设通风设施，并在气瓶间外设置事故通风紧急开关。存放剧毒或高毒气体的气瓶柜应连接到通风设施。</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第6.10条；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第5.2.3条；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第6.5.4条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15.2.11.097</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其他设备设施类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设置在建筑物内的气瓶间未设通风设施，可能散发易燃气体的气瓶间未设置防爆型通风设施。存可能散发易燃、毒性气体或蒸气气瓶间的机械通风换气次数不</w:t>
            </w:r>
            <w:r>
              <w:rPr>
                <w:rFonts w:hint="eastAsia" w:ascii="仿宋_GB2312" w:hAnsi="仿宋_GB2312" w:cs="仿宋_GB2312"/>
                <w:color w:val="000000"/>
                <w:sz w:val="20"/>
                <w:szCs w:val="20"/>
                <w:lang w:eastAsia="zh-CN"/>
              </w:rPr>
              <w:t>符合要求</w:t>
            </w:r>
            <w:r>
              <w:rPr>
                <w:rFonts w:hint="eastAsia" w:ascii="仿宋_GB2312" w:hAnsi="仿宋_GB2312" w:cs="仿宋_GB2312"/>
                <w:color w:val="000000"/>
                <w:sz w:val="20"/>
                <w:szCs w:val="20"/>
              </w:rPr>
              <w:t>。</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设置在建筑物内的气瓶间应设通风设施，可能散发易燃气体的气瓶间应设置防爆型通风设施。 储存可能散发易燃、毒性气体或蒸气气瓶间的机械通风正常通风换气次数不少于 6 次/h，事故排风换气次数不应少于12次/h，并应在气瓶间外设置事故通风紧急按钮。存放其他气体的气瓶间正常通风换 气次数应不少于3次/h。</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bookmarkStart w:id="1" w:name="_Hlk223120573"/>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第6.3条；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第6.5.5条</w:t>
            </w:r>
            <w:bookmarkEnd w:id="1"/>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15.2.09.098</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监控系统类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储存有易燃气体的室内气瓶室未整体防爆；未应按照气体危险区域2区的要求进行防爆电器选型及安装。未安装可燃气体检测报警器，未与防爆风机联锁。</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（7）储存有易燃气体的室内气瓶室应整体防爆，除经特殊的评估或论证外，至少应按照气体危险区域2区的要求进行防爆电器选型及安装。应安装可燃气体检测报警器并与防爆风机联锁。</w:t>
            </w:r>
          </w:p>
        </w:tc>
        <w:tc>
          <w:tcPr>
            <w:tcW w:w="4312" w:type="dxa"/>
            <w:tcBorders>
              <w:tl2br w:val="nil"/>
              <w:tr2bl w:val="nil"/>
            </w:tcBorders>
            <w:noWrap w:val="0"/>
            <w:vAlign w:val="top"/>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第6.5.1条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15.2.09.099</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监控系统类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储存有惰性气体的室内气瓶室，未设置氧含量浓度检测报警器。</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储存有惰性气体的室内气瓶室，应设置氧含量浓度检测报警器。</w:t>
            </w:r>
          </w:p>
        </w:tc>
        <w:tc>
          <w:tcPr>
            <w:tcW w:w="4312" w:type="dxa"/>
            <w:tcBorders>
              <w:tl2br w:val="nil"/>
              <w:tr2bl w:val="nil"/>
            </w:tcBorders>
            <w:noWrap w:val="0"/>
            <w:vAlign w:val="top"/>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第6，1条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15.2.03.100</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辅助系统设备设施类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气瓶存放时未直立固定，未配戴好瓶帽（有防护罩的气瓶除外），未套防震圈。</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气瓶存放时应牢固地直立并固定，配戴好瓶帽（有防护罩的气瓶除外），套好防震圈。</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《气瓶安全技术规程》（TSG 23-2021）第8.6.9条;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第7.5.4条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15.2.03.101</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辅助系统设备设施类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气瓶混存混放，未分类、分区存放，可燃性和氧化性的气体未分室存放；</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有毒气体气瓶以及瓶内气体相互接触能引起燃烧、爆炸、产生毒物的禁忌类气瓶，未分室存放。</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空瓶、实瓶与不合格未分区存放，安全距离小于1.5m，并无明显分区标识。</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气瓶应分类、分区存放，可燃性和氧化性的气体应分室存放；</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有毒气体气瓶以及瓶内气体相互接触能引起燃烧、爆炸、产生毒物的禁忌类气瓶，应分室存放。</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ascii="仿宋_GB2312" w:hAnsi="仿宋_GB2312" w:cs="仿宋_GB2312"/>
                <w:color w:val="000000"/>
                <w:sz w:val="20"/>
                <w:szCs w:val="20"/>
              </w:rPr>
              <w:t>未按标准规范要求分区分类储存危险化学品；超量、超品种储存危险化学品；相互禁配物质混放混存。</w:t>
            </w:r>
            <w:r>
              <w:rPr>
                <w:rFonts w:hint="eastAsia" w:ascii="仿宋_GB2312" w:hAnsi="仿宋_GB2312" w:cs="仿宋_GB2312"/>
                <w:color w:val="000000"/>
                <w:sz w:val="20"/>
                <w:szCs w:val="20"/>
              </w:rPr>
              <w:t>空瓶、实瓶与不合格应分区存放，安全距离不小于1.5m，并有明显分区标识。</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《化工和危险化学品企业重大生产安全事故隐患判定准则（征求意见稿）》</w:t>
            </w:r>
            <w:r>
              <w:rPr>
                <w:rFonts w:hint="eastAsia" w:ascii="仿宋_GB2312" w:hAnsi="仿宋_GB2312" w:cs="仿宋_GB2312"/>
                <w:color w:val="000000"/>
                <w:sz w:val="20"/>
                <w:szCs w:val="20"/>
              </w:rPr>
              <w:t>第</w:t>
            </w:r>
            <w:r>
              <w:rPr>
                <w:rFonts w:ascii="仿宋_GB2312" w:hAnsi="仿宋_GB2312" w:cs="仿宋_GB2312"/>
                <w:color w:val="000000"/>
                <w:sz w:val="20"/>
                <w:szCs w:val="20"/>
              </w:rPr>
              <w:t>5.5.8</w:t>
            </w:r>
            <w:r>
              <w:rPr>
                <w:rFonts w:hint="eastAsia" w:ascii="仿宋_GB2312" w:hAnsi="仿宋_GB2312" w:cs="仿宋_GB2312"/>
                <w:color w:val="000000"/>
                <w:sz w:val="20"/>
                <w:szCs w:val="20"/>
              </w:rPr>
              <w:t>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第7.5.5条；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第6.3.3、6.3.5条；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第7.3.7条；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r>
              <w:rPr>
                <w:rFonts w:hint="eastAsia" w:ascii="仿宋_GB2312" w:hAnsi="仿宋_GB2312" w:cs="仿宋_GB2312"/>
                <w:b/>
                <w:color w:val="000000"/>
                <w:kern w:val="0"/>
                <w:sz w:val="20"/>
                <w:szCs w:val="20"/>
              </w:rPr>
              <w:t>★1</w:t>
            </w: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15.4.03. 102</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标志及标识类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瓶漆色褪色不清晰，安全标签不清楚、完整，气瓶上无气瓶追溯标识。</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气瓶漆色应清晰，安全标签应清楚、完整，气瓶上应有符合DB11/T 1530要求的气瓶追溯标识。</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第4.4.1条；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第7.4.1条；《危险化学品气瓶追溯技术规范》（DB11/T 1530-2018）</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15.2.12.103</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每间气瓶室内，易燃气体存放总量超过36Nm3（如工作压力15MPa时相当于40L的6瓶），非易燃无毒气体存放总量超过60Nm3（如工作压力15MPa时相当于40L的10瓶）。</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每间气瓶室内，易燃气体存放总量不应超过36Nm3（如工作压力15MPa时相当于40L的6瓶），非易燃无毒气体存放总量不应超过60Nm3（如工作压力15MPa时相当于40L的10瓶）。</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第7.5.2条；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第6.3.1条；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第7.3.5条；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15.3.02.104</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超期服役的气瓶未及时退回气瓶销售企业。</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超期服役的气瓶应及时退回气瓶销售企业。</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第8.2.1条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第6.3.4条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15.2.11.105</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其他设备设施类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汇流排间与毗连房间之间未采用耐火极限不低于2.0h的无门、窗、洞的不燃烧体墙体进行分隔，汇流排间与其他区域未以围墙或栅栏进行有效隔离。</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汇流排间与毗连房间之间应采用耐火极限不低于2.0h的无门、窗、洞的不燃烧体墙体进行分隔，汇流排间与其他区域应以围墙或栅栏进行有效隔离。</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第6.8.3条a）</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15.4.03.106</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标志及标识类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汇流排间未设置安全标志，包括化学品危险性质的警示标志，禁止、警告、指令、提示等安全标志。</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汇流排间应设置安全标志，包括化学品危险性质的警示标志，禁止、警告、指令、提示等安全标志。</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第6.8.3条b）</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15.4.04.107</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作业环境类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汇流排间的通风设备未按设计工况选型；将气瓶靠近热源，安放气瓶的地点周围10ｍ范围内有明火或可能产生火花的作业。</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汇流排间未采取防止阳光直射气瓶的措施。</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汇流排间的通风设备应按设计工况选型，防止气瓶意外受热，不应将气瓶靠近热源，安放气瓶的地点周围10ｍ范围内，不应进行有明火或可能产生火花的作业。</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汇流排间应采取防止阳光直射气瓶的措施。</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第6.8.3条c）</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15.2.11.108</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其他设备设施类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室内气瓶室未设通风设施，并在气瓶间外未设置事故通风紧急开关。存放剧毒或高毒气体的气瓶柜未连接到通风设施。</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室内气瓶室应设通风设施，并在气瓶间外设置事故通风紧急开关。存放剧毒或高毒气体的气瓶柜应连接到通风设施。</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第6.10条；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第5.2.3条；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第6.5.4条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270" w:hRule="atLeast"/>
          <w:jc w:val="center"/>
        </w:trPr>
        <w:tc>
          <w:tcPr>
            <w:tcW w:w="14567" w:type="dxa"/>
            <w:gridSpan w:val="7"/>
            <w:tcBorders>
              <w:tl2br w:val="nil"/>
              <w:tr2bl w:val="nil"/>
            </w:tcBorders>
            <w:shd w:val="clear" w:color="auto" w:fill="95B3D7"/>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r>
              <w:rPr>
                <w:rFonts w:hint="eastAsia" w:ascii="仿宋_GB2312" w:hAnsi="仿宋_GB2312" w:cs="仿宋_GB2312"/>
                <w:b/>
                <w:bCs w:val="0"/>
                <w:color w:val="000000"/>
                <w:kern w:val="0"/>
                <w:sz w:val="20"/>
                <w:szCs w:val="20"/>
                <w:lang w:bidi="ar"/>
              </w:rPr>
              <w:t>危险化学品管理与使用</w:t>
            </w: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15.3.01.1</w:t>
            </w:r>
            <w:r>
              <w:rPr>
                <w:rFonts w:hint="eastAsia" w:ascii="仿宋_GB2312" w:hAnsi="仿宋_GB2312" w:cs="仿宋_GB2312"/>
                <w:color w:val="000000"/>
                <w:sz w:val="20"/>
                <w:szCs w:val="20"/>
                <w:lang w:val="en-US" w:eastAsia="zh-CN"/>
              </w:rPr>
              <w:t>09</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资格资质类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向不具有危险化学品生产、经营资质的单位采购危险化学品。</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应向具有危险化学品生产、经营资质的单位采购危险化学品。</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第8.1.1条；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15.4.03.1</w:t>
            </w:r>
            <w:r>
              <w:rPr>
                <w:rFonts w:hint="eastAsia" w:ascii="仿宋_GB2312" w:hAnsi="仿宋_GB2312" w:cs="仿宋_GB2312"/>
                <w:color w:val="000000"/>
                <w:sz w:val="20"/>
                <w:szCs w:val="20"/>
                <w:lang w:val="en-US" w:eastAsia="zh-CN"/>
              </w:rPr>
              <w:t>10</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标志及标识类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购买未粘贴北京市危险化学品追溯标签的带包装危险化学品。</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应购买粘贴有北京市危险化学品追溯标签的带包装危险化学品。</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第8.1.2条；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第7.3.1条；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15.3.02.1</w:t>
            </w:r>
            <w:r>
              <w:rPr>
                <w:rFonts w:hint="eastAsia" w:ascii="仿宋_GB2312" w:hAnsi="仿宋_GB2312" w:cs="仿宋_GB2312"/>
                <w:color w:val="000000"/>
                <w:sz w:val="20"/>
                <w:szCs w:val="20"/>
                <w:lang w:val="en-US" w:eastAsia="zh-CN"/>
              </w:rPr>
              <w:t>11</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危险化学品有效期及气瓶检验有效期过期，未坚持先入先出的原则。</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应注意危险化学品有效期及气瓶检验有效期，并坚持先入先出的原则。</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第8.2.1条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15.3.02.1</w:t>
            </w:r>
            <w:r>
              <w:rPr>
                <w:rFonts w:hint="eastAsia" w:ascii="仿宋_GB2312" w:hAnsi="仿宋_GB2312" w:cs="仿宋_GB2312"/>
                <w:color w:val="000000"/>
                <w:sz w:val="20"/>
                <w:szCs w:val="20"/>
                <w:lang w:val="en-US" w:eastAsia="zh-CN"/>
              </w:rPr>
              <w:t>12</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危险化学品无领用记录，包括的内容不全；发放无专人负责，未根据实际需要最低数量发放，未填写发放记录。</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危险化学品应有领用记录，应包括以下内容：品种、规格、发放、退回日期、部门及 经办人、数量以及结存数量和存放地点等。发放应有专人负责，并根据实际需要最低数量发放，并填写发放记录。</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第8.2.2条；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第7.4.1、7.4.3条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15.3.02.1</w:t>
            </w:r>
            <w:r>
              <w:rPr>
                <w:rFonts w:hint="eastAsia" w:ascii="仿宋_GB2312" w:hAnsi="仿宋_GB2312" w:cs="仿宋_GB2312"/>
                <w:color w:val="000000"/>
                <w:sz w:val="20"/>
                <w:szCs w:val="20"/>
                <w:lang w:val="en-US" w:eastAsia="zh-CN"/>
              </w:rPr>
              <w:t>13</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爆炸品、剧毒化学品未由两人领取，领用爆炸品、剧毒化学品时未详细记载用途。剩余未在当日退回，未详细记录退回物品的种类和数量。</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爆炸品、剧毒化学品应由两人领取，领用爆炸品、剧毒化学品时应详细记载用途。如有剩余应在当日退回，并详细记录退回物品的种类和数量。</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第8.2.3条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15.3.02.1</w:t>
            </w:r>
            <w:r>
              <w:rPr>
                <w:rFonts w:hint="eastAsia" w:ascii="仿宋_GB2312" w:hAnsi="仿宋_GB2312" w:cs="仿宋_GB2312"/>
                <w:color w:val="000000"/>
                <w:sz w:val="20"/>
                <w:szCs w:val="20"/>
                <w:lang w:val="en-US" w:eastAsia="zh-CN"/>
              </w:rPr>
              <w:t>14</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实验采用国家明令淘汰的工艺、装备和禁用的物料。</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实验不得采用国家明令淘汰的工艺、装备和禁用的物料。</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第8.1.1条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15.3.02.1</w:t>
            </w:r>
            <w:r>
              <w:rPr>
                <w:rFonts w:hint="eastAsia" w:ascii="仿宋_GB2312" w:hAnsi="仿宋_GB2312" w:cs="仿宋_GB2312"/>
                <w:color w:val="000000"/>
                <w:sz w:val="20"/>
                <w:szCs w:val="20"/>
                <w:lang w:val="en-US" w:eastAsia="zh-CN"/>
              </w:rPr>
              <w:t>15</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自行配制的、主要成分含有危险化学品的实验样品，未按危险化学品进行管理，随意放置于实验台上；</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自配制或分装后的包装物未重新粘贴标签，未注明化学品成分、浓度等主要信息，分装后的包装物未标明体积信息，样品在实验室期间未保留该标签。</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自行配制的、主要成分含有危险化学品的实验样品，应按危险化学品进行管理，不应随意放置于实验台上。自行配制或分装后的包装物应重新粘贴标签，注明化学品成分、浓度等主要信息，分装后的包装物还应标明体积信息，样品在实验室期间应保留该标签。</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第8.1.8条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15.3.02.1</w:t>
            </w:r>
            <w:r>
              <w:rPr>
                <w:rFonts w:hint="eastAsia" w:ascii="仿宋_GB2312" w:hAnsi="仿宋_GB2312" w:cs="仿宋_GB2312"/>
                <w:color w:val="000000"/>
                <w:sz w:val="20"/>
                <w:szCs w:val="20"/>
                <w:lang w:val="en-US" w:eastAsia="zh-CN"/>
              </w:rPr>
              <w:t>16</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未定期对过期危险化学品、无使用价值的自配化学品以及缺少安全标签、不清楚主要成分的危险化学品进行全面清理。</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应定期对过期危险化学品、无使用价值的自配化学品以及缺少安全标签、不清楚主要成分的危险化学品进行全面清理。</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第8.1.8条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15.3.02.1</w:t>
            </w:r>
            <w:r>
              <w:rPr>
                <w:rFonts w:hint="eastAsia" w:ascii="仿宋_GB2312" w:hAnsi="仿宋_GB2312" w:cs="仿宋_GB2312"/>
                <w:color w:val="000000"/>
                <w:sz w:val="20"/>
                <w:szCs w:val="20"/>
                <w:lang w:val="en-US" w:eastAsia="zh-CN"/>
              </w:rPr>
              <w:t>17</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瓶装气体擅自充装、分装、倒瓶。</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瓶装气体严禁充装、分装、倒瓶。</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第8.3.3条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15.3.02.1</w:t>
            </w:r>
            <w:r>
              <w:rPr>
                <w:rFonts w:hint="eastAsia" w:ascii="仿宋_GB2312" w:hAnsi="仿宋_GB2312" w:cs="仿宋_GB2312"/>
                <w:color w:val="000000"/>
                <w:sz w:val="20"/>
                <w:szCs w:val="20"/>
                <w:lang w:val="en-US" w:eastAsia="zh-CN"/>
              </w:rPr>
              <w:t>18</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实验室内设置氢气、乙炔、环氧乙烷气瓶，未放置在气瓶柜内，未设置可燃气体浓度检测报警器，其排风管未使用不燃材料，并应直接通向室外安全地点。</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实验室内不应设置氢气、乙炔、环氧乙烷气瓶，必须设置时，应放置在气瓶柜内，并设置可燃气体浓度检测报警器，其排风管应使用不燃材料，并应直接通向室外安全地点。</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第1部分：工业企业》（DB11/T 1191.1-2025）</w:t>
            </w:r>
            <w:r>
              <w:rPr>
                <w:rFonts w:hint="eastAsia" w:ascii="仿宋_GB2312" w:hAnsi="仿宋_GB2312" w:cs="仿宋_GB2312"/>
                <w:color w:val="000000"/>
                <w:sz w:val="20"/>
                <w:szCs w:val="20"/>
              </w:rPr>
              <w:t>第8.3.4条；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第8.3.4条；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第6.2.4条；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514" w:hRule="atLeast"/>
          <w:jc w:val="center"/>
        </w:trPr>
        <w:tc>
          <w:tcPr>
            <w:tcW w:w="14567" w:type="dxa"/>
            <w:gridSpan w:val="7"/>
            <w:tcBorders>
              <w:tl2br w:val="nil"/>
              <w:tr2bl w:val="nil"/>
            </w:tcBorders>
            <w:shd w:val="clear" w:color="auto" w:fill="95B3D7"/>
            <w:noWrap w:val="0"/>
            <w:vAlign w:val="center"/>
          </w:tcPr>
          <w:p>
            <w:pPr>
              <w:widowControl/>
              <w:suppressAutoHyphens/>
              <w:adjustRightInd w:val="0"/>
              <w:snapToGrid w:val="0"/>
              <w:spacing w:beforeLines="0" w:after="0" w:afterLines="0" w:line="240" w:lineRule="auto"/>
              <w:jc w:val="center"/>
              <w:rPr>
                <w:rFonts w:hint="eastAsia" w:ascii="仿宋_GB2312" w:hAnsi="黑体" w:cs="宋体"/>
                <w:bCs/>
                <w:kern w:val="0"/>
                <w:sz w:val="20"/>
                <w:szCs w:val="20"/>
              </w:rPr>
            </w:pPr>
            <w:r>
              <w:rPr>
                <w:rFonts w:hint="eastAsia" w:ascii="仿宋_GB2312" w:hAnsi="仿宋_GB2312" w:cs="仿宋_GB2312"/>
                <w:b/>
                <w:bCs w:val="0"/>
                <w:color w:val="000000"/>
                <w:kern w:val="0"/>
                <w:sz w:val="20"/>
                <w:szCs w:val="20"/>
                <w:lang w:bidi="ar"/>
              </w:rPr>
              <w:t>危险化学品实验与储存过程安全管理</w:t>
            </w: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15.3.02.1</w:t>
            </w:r>
            <w:r>
              <w:rPr>
                <w:rFonts w:hint="eastAsia" w:ascii="仿宋_GB2312" w:hAnsi="仿宋_GB2312" w:cs="仿宋_GB2312"/>
                <w:color w:val="000000"/>
                <w:sz w:val="20"/>
                <w:szCs w:val="20"/>
                <w:lang w:val="en-US" w:eastAsia="zh-CN"/>
              </w:rPr>
              <w:t>19</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实验室安全负责人或实验项目负责人未组织人员对实验现场、使用危险化学品的实验项目和实验过程中可能存在的风险进行辨识、评估，未制定相应的安全风险管控措施。</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实验室安全负责人或实验项目负责人应组织人员对实验现场、使用危险化学品的实验项目和实验过程中可能存在的风险进行辨识、评估，制定相应的安全风险管控措施。</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第5.3.9条；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第8.1.3条b）</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15.3.02.1</w:t>
            </w:r>
            <w:r>
              <w:rPr>
                <w:rFonts w:hint="eastAsia" w:ascii="仿宋_GB2312" w:hAnsi="仿宋_GB2312" w:cs="仿宋_GB2312"/>
                <w:color w:val="000000"/>
                <w:sz w:val="20"/>
                <w:szCs w:val="20"/>
                <w:lang w:val="en-US" w:eastAsia="zh-CN"/>
              </w:rPr>
              <w:t>20</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安全负责人或实验项目负责人未对参加实验的人员进行安全措施交底；项目负责人未向实验室内同时作业的其他实验操作人员告知本实验过程中可能存在的安全风险、采取的个体防护措施和应急措施、个体防护装备的位置等。</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安全负责人或实验项目负责人应对参加实验的人员进行安全措施交底，主要包括：实验现场和实验过程中可能存在的危险有害因素、应采取的具体安全措施与应急措施、应急救援器材的位置及分布等；同时，项目负责人应向实验室内同时作业的其他实验操作人员告知本实验过程中可能存在的安全风险、应采取的个体防护措施和应急措施、个体防护装备的位置等。</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第8.1.3条c）；</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第7.5.5条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15.3.02.1</w:t>
            </w:r>
            <w:r>
              <w:rPr>
                <w:rFonts w:hint="eastAsia" w:ascii="仿宋_GB2312" w:hAnsi="仿宋_GB2312" w:cs="仿宋_GB2312"/>
                <w:color w:val="000000"/>
                <w:sz w:val="20"/>
                <w:szCs w:val="20"/>
                <w:lang w:val="en-US" w:eastAsia="zh-CN"/>
              </w:rPr>
              <w:t>21</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实验人员未对实验涉及的仪器、设备等进行安全检查，无</w:t>
            </w:r>
            <w:r>
              <w:rPr>
                <w:rFonts w:hint="eastAsia" w:ascii="仿宋_GB2312" w:hAnsi="仿宋_GB2312" w:cs="仿宋_GB2312"/>
                <w:color w:val="000000"/>
                <w:sz w:val="20"/>
                <w:szCs w:val="20"/>
                <w:lang w:eastAsia="zh-CN"/>
              </w:rPr>
              <w:t>检查台账</w:t>
            </w:r>
            <w:r>
              <w:rPr>
                <w:rFonts w:hint="eastAsia" w:ascii="仿宋_GB2312" w:hAnsi="仿宋_GB2312" w:cs="仿宋_GB2312"/>
                <w:color w:val="000000"/>
                <w:sz w:val="20"/>
                <w:szCs w:val="20"/>
              </w:rPr>
              <w:t>。</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实验人员对实验涉及的仪器、设备等进行安全检查，并记录检查台账。</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 xml:space="preserve">第7.1.1条； </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第8.1.3条d）</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15.3.02.1</w:t>
            </w:r>
            <w:r>
              <w:rPr>
                <w:rFonts w:hint="eastAsia" w:ascii="仿宋_GB2312" w:hAnsi="仿宋_GB2312" w:cs="仿宋_GB2312"/>
                <w:color w:val="000000"/>
                <w:sz w:val="20"/>
                <w:szCs w:val="20"/>
                <w:lang w:val="en-US" w:eastAsia="zh-CN"/>
              </w:rPr>
              <w:t>22</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实验室安全负责人或实验项目负责人未定期对实验室危险化学品管理工作进行安全检查。</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安全负责人或实验项目负责人应定期对实验室危险化学品管理工作进行安全检查，安全检查应包括风险源辨识、风险控制措施、人员行为、安全设施和设备、应急物资等内容。应对实验人员个体防护装备穿戴情况进行检查。</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第8.1.3条e）、第4.5.3条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15.3.02.1</w:t>
            </w:r>
            <w:r>
              <w:rPr>
                <w:rFonts w:hint="eastAsia" w:ascii="仿宋_GB2312" w:hAnsi="仿宋_GB2312" w:cs="仿宋_GB2312"/>
                <w:color w:val="000000"/>
                <w:sz w:val="20"/>
                <w:szCs w:val="20"/>
                <w:lang w:val="en-US" w:eastAsia="zh-CN"/>
              </w:rPr>
              <w:t>23</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实验项目负责人未对参与实验人员开展实验室及实验项目有关操作规程进行再培训。</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实验项目负责人应对参与实验人员开展实验室及实验项目有关操作规程进行再培训。</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第8.1.3条e）</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15.3.02.1</w:t>
            </w:r>
            <w:r>
              <w:rPr>
                <w:rFonts w:hint="eastAsia" w:ascii="仿宋_GB2312" w:hAnsi="仿宋_GB2312" w:cs="仿宋_GB2312"/>
                <w:color w:val="000000"/>
                <w:sz w:val="20"/>
                <w:szCs w:val="20"/>
                <w:lang w:val="en-US" w:eastAsia="zh-CN"/>
              </w:rPr>
              <w:t>24</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实验人员未提前阅读化学品安全技术说明书，未掌握所使用的危险化学品的危险特性和应急措施，未做好个体防护。</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实验人员应提前阅读化学品安全技术说明书，掌握所使用的危险化学品的危险特性和应急措施，做好个体防护。</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第8.1.4条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15.3.02.1</w:t>
            </w:r>
            <w:r>
              <w:rPr>
                <w:rFonts w:hint="eastAsia" w:ascii="仿宋_GB2312" w:hAnsi="仿宋_GB2312" w:cs="仿宋_GB2312"/>
                <w:color w:val="000000"/>
                <w:sz w:val="20"/>
                <w:szCs w:val="20"/>
                <w:lang w:val="en-US" w:eastAsia="zh-CN"/>
              </w:rPr>
              <w:t>25</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科研单位实验室实验过程未按照实验方案进行，重大改变未按程序重新审批。实验结束后，未对实验情况进行全面分析，</w:t>
            </w:r>
            <w:r>
              <w:rPr>
                <w:rFonts w:hint="eastAsia" w:ascii="仿宋_GB2312" w:hAnsi="仿宋_GB2312" w:cs="仿宋_GB2312"/>
                <w:color w:val="000000"/>
                <w:sz w:val="20"/>
                <w:szCs w:val="20"/>
                <w:lang w:eastAsia="zh-CN"/>
              </w:rPr>
              <w:t>未</w:t>
            </w:r>
            <w:r>
              <w:rPr>
                <w:rFonts w:hint="eastAsia" w:ascii="仿宋_GB2312" w:hAnsi="仿宋_GB2312" w:cs="仿宋_GB2312"/>
                <w:color w:val="000000"/>
                <w:sz w:val="20"/>
                <w:szCs w:val="20"/>
              </w:rPr>
              <w:t>编写总结报告。</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实验过程应按照实验方案进行，如有重大改变，应按程序重新审批，必要时重新组织专家论证。实验结束后，对实验情况进行全面分析的基础上，编写总结报告，分析和总结应有安全设施、设备运转情况的章节。</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第8.1.10条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15.3.02.1</w:t>
            </w:r>
            <w:r>
              <w:rPr>
                <w:rFonts w:hint="eastAsia" w:ascii="仿宋_GB2312" w:hAnsi="仿宋_GB2312" w:cs="仿宋_GB2312"/>
                <w:color w:val="000000"/>
                <w:sz w:val="20"/>
                <w:szCs w:val="20"/>
                <w:lang w:val="en-US" w:eastAsia="zh-CN"/>
              </w:rPr>
              <w:t>26</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科研单位实验室同一间实验室或实验现场</w:t>
            </w:r>
            <w:r>
              <w:rPr>
                <w:rFonts w:hint="eastAsia" w:ascii="仿宋_GB2312" w:hAnsi="仿宋_GB2312" w:cs="仿宋_GB2312"/>
                <w:color w:val="000000"/>
                <w:sz w:val="20"/>
                <w:szCs w:val="20"/>
                <w:lang w:eastAsia="zh-CN"/>
              </w:rPr>
              <w:t>存在</w:t>
            </w:r>
            <w:r>
              <w:rPr>
                <w:rFonts w:hint="eastAsia" w:ascii="仿宋_GB2312" w:hAnsi="仿宋_GB2312" w:cs="仿宋_GB2312"/>
                <w:color w:val="000000"/>
                <w:sz w:val="20"/>
                <w:szCs w:val="20"/>
              </w:rPr>
              <w:t>多人员、多科目交叉实验。未限定参与每项实验的人数上限，未对进入实验室的人数进行控制，实验室未采用门禁等设施对进入人数及权限进行管理。</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同一间实验室或实验现场应减少多人员、多科目交叉实验。宜限定参与每项实验的人数上限，对进入实验室的人数进行控制，实验室可采用门禁等设施对进入人数及权限进行管理。</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第8.1.11条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15.2.03.1</w:t>
            </w:r>
            <w:r>
              <w:rPr>
                <w:rFonts w:hint="eastAsia" w:ascii="仿宋_GB2312" w:hAnsi="仿宋_GB2312" w:cs="仿宋_GB2312"/>
                <w:color w:val="000000"/>
                <w:sz w:val="20"/>
                <w:szCs w:val="20"/>
                <w:lang w:val="en-US" w:eastAsia="zh-CN"/>
              </w:rPr>
              <w:t>27</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辅助系统设备设施类</w:t>
            </w:r>
          </w:p>
        </w:tc>
        <w:tc>
          <w:tcPr>
            <w:tcW w:w="3225" w:type="dxa"/>
            <w:tcBorders>
              <w:tl2br w:val="nil"/>
              <w:tr2bl w:val="nil"/>
            </w:tcBorders>
            <w:noWrap w:val="0"/>
            <w:vAlign w:val="top"/>
          </w:tcPr>
          <w:p>
            <w:pPr>
              <w:suppressAutoHyphens/>
              <w:autoSpaceDE w:val="0"/>
              <w:autoSpaceDN w:val="0"/>
              <w:adjustRightInd w:val="0"/>
              <w:snapToGrid w:val="0"/>
              <w:spacing w:beforeLines="0" w:after="0" w:afterLines="0" w:line="240" w:lineRule="auto"/>
              <w:rPr>
                <w:rFonts w:hint="eastAsia" w:ascii="仿宋_GB2312" w:hAnsi="仿宋_GB2312" w:eastAsia="仿宋_GB2312" w:cs="仿宋_GB2312"/>
                <w:color w:val="000000"/>
                <w:sz w:val="20"/>
                <w:szCs w:val="20"/>
                <w:lang w:eastAsia="zh-CN"/>
              </w:rPr>
            </w:pPr>
            <w:r>
              <w:rPr>
                <w:rFonts w:hint="eastAsia" w:ascii="仿宋_GB2312" w:hAnsi="仿宋_GB2312" w:cs="仿宋_GB2312"/>
                <w:color w:val="000000"/>
                <w:sz w:val="20"/>
                <w:szCs w:val="20"/>
              </w:rPr>
              <w:t>涉及危险化工工艺的实验室，未确定重点监控的工艺参数，未根据工艺安全需要，应用物联网、人工智能等技术，未配备作业机器人等智能实验设备或系统，减少实验现场人员数量，降低作业人员操作安全风险</w:t>
            </w:r>
            <w:r>
              <w:rPr>
                <w:rFonts w:hint="eastAsia" w:ascii="仿宋_GB2312" w:hAnsi="仿宋_GB2312" w:cs="仿宋_GB2312"/>
                <w:color w:val="000000"/>
                <w:sz w:val="20"/>
                <w:szCs w:val="20"/>
                <w:lang w:eastAsia="zh-CN"/>
              </w:rPr>
              <w:t>。</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eastAsia="仿宋_GB2312" w:cs="仿宋_GB2312"/>
                <w:color w:val="000000"/>
                <w:sz w:val="20"/>
                <w:szCs w:val="20"/>
                <w:lang w:eastAsia="zh-CN"/>
              </w:rPr>
            </w:pPr>
            <w:r>
              <w:rPr>
                <w:rFonts w:hint="eastAsia" w:ascii="仿宋_GB2312" w:hAnsi="仿宋_GB2312" w:cs="仿宋_GB2312"/>
                <w:color w:val="000000"/>
                <w:sz w:val="20"/>
                <w:szCs w:val="20"/>
              </w:rPr>
              <w:t>涉及危险化工工艺的实验室，应确定重点监控的工艺参数，根据工艺安全需要，应用物联网、人工智能等技术，配备作业机器人等智能实验设备或系统，实现实验作业的自动化，减少实验现场人员数量，降低作业人员操作安全风险</w:t>
            </w:r>
            <w:r>
              <w:rPr>
                <w:rFonts w:hint="eastAsia" w:ascii="仿宋_GB2312" w:hAnsi="仿宋_GB2312" w:cs="仿宋_GB2312"/>
                <w:color w:val="000000"/>
                <w:sz w:val="20"/>
                <w:szCs w:val="20"/>
                <w:lang w:eastAsia="zh-CN"/>
              </w:rPr>
              <w:t>。</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第8.1.12条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15.2.03.1</w:t>
            </w:r>
            <w:r>
              <w:rPr>
                <w:rFonts w:hint="eastAsia" w:ascii="仿宋_GB2312" w:hAnsi="仿宋_GB2312" w:cs="仿宋_GB2312"/>
                <w:color w:val="000000"/>
                <w:sz w:val="20"/>
                <w:szCs w:val="20"/>
                <w:lang w:val="en-US" w:eastAsia="zh-CN"/>
              </w:rPr>
              <w:t>28</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辅助系统设备设施类</w:t>
            </w:r>
          </w:p>
        </w:tc>
        <w:tc>
          <w:tcPr>
            <w:tcW w:w="3225" w:type="dxa"/>
            <w:tcBorders>
              <w:tl2br w:val="nil"/>
              <w:tr2bl w:val="nil"/>
            </w:tcBorders>
            <w:noWrap w:val="0"/>
            <w:vAlign w:val="top"/>
          </w:tcPr>
          <w:p>
            <w:pPr>
              <w:suppressAutoHyphens/>
              <w:autoSpaceDE w:val="0"/>
              <w:autoSpaceDN w:val="0"/>
              <w:adjustRightInd w:val="0"/>
              <w:snapToGrid w:val="0"/>
              <w:spacing w:beforeLines="0" w:after="0" w:afterLines="0" w:line="240" w:lineRule="auto"/>
              <w:rPr>
                <w:rFonts w:hint="eastAsia" w:ascii="仿宋_GB2312" w:hAnsi="仿宋_GB2312" w:eastAsia="仿宋_GB2312" w:cs="仿宋_GB2312"/>
                <w:color w:val="000000"/>
                <w:sz w:val="20"/>
                <w:szCs w:val="20"/>
                <w:lang w:eastAsia="zh-CN"/>
              </w:rPr>
            </w:pPr>
            <w:r>
              <w:rPr>
                <w:rFonts w:hint="eastAsia" w:ascii="仿宋_GB2312" w:hAnsi="仿宋_GB2312" w:cs="仿宋_GB2312"/>
                <w:color w:val="000000"/>
                <w:sz w:val="20"/>
                <w:szCs w:val="20"/>
              </w:rPr>
              <w:t>在具有爆炸危险性的实验场所内开展的实验项目，未采用自动化控制技术，未设置监测监控设施，未实现人员远程操作与监控，未控制实验现场人员数量。控制室未设置可靠的安全隔离措施</w:t>
            </w:r>
            <w:r>
              <w:rPr>
                <w:rFonts w:hint="eastAsia" w:ascii="仿宋_GB2312" w:hAnsi="仿宋_GB2312" w:cs="仿宋_GB2312"/>
                <w:color w:val="000000"/>
                <w:sz w:val="20"/>
                <w:szCs w:val="20"/>
                <w:lang w:eastAsia="zh-CN"/>
              </w:rPr>
              <w:t>。</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eastAsia="仿宋_GB2312" w:cs="仿宋_GB2312"/>
                <w:color w:val="000000"/>
                <w:sz w:val="20"/>
                <w:szCs w:val="20"/>
                <w:lang w:eastAsia="zh-CN"/>
              </w:rPr>
            </w:pPr>
            <w:r>
              <w:rPr>
                <w:rFonts w:hint="eastAsia" w:ascii="仿宋_GB2312" w:hAnsi="仿宋_GB2312" w:cs="仿宋_GB2312"/>
                <w:color w:val="000000"/>
                <w:sz w:val="20"/>
                <w:szCs w:val="20"/>
              </w:rPr>
              <w:t>在具有爆炸危险性的实验场所内开展的实验项目，应采用自动化控制技术，设置监测监控设施，实现人员远程操作与监控，控制实验现场人员数量。控制室应有可靠的安全隔离措施，以保护人员安全和各类运行数据的完整</w:t>
            </w:r>
            <w:r>
              <w:rPr>
                <w:rFonts w:hint="eastAsia" w:ascii="仿宋_GB2312" w:hAnsi="仿宋_GB2312" w:cs="仿宋_GB2312"/>
                <w:color w:val="000000"/>
                <w:sz w:val="20"/>
                <w:szCs w:val="20"/>
                <w:lang w:eastAsia="zh-CN"/>
              </w:rPr>
              <w:t>。</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第8.1.13条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15.2.03.1</w:t>
            </w:r>
            <w:r>
              <w:rPr>
                <w:rFonts w:hint="eastAsia" w:ascii="仿宋_GB2312" w:hAnsi="仿宋_GB2312" w:cs="仿宋_GB2312"/>
                <w:color w:val="000000"/>
                <w:sz w:val="20"/>
                <w:szCs w:val="20"/>
                <w:lang w:val="en-US" w:eastAsia="zh-CN"/>
              </w:rPr>
              <w:t>29</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辅助系统设备设施类</w:t>
            </w:r>
          </w:p>
        </w:tc>
        <w:tc>
          <w:tcPr>
            <w:tcW w:w="3225" w:type="dxa"/>
            <w:tcBorders>
              <w:tl2br w:val="nil"/>
              <w:tr2bl w:val="nil"/>
            </w:tcBorders>
            <w:noWrap w:val="0"/>
            <w:vAlign w:val="top"/>
          </w:tcPr>
          <w:p>
            <w:pPr>
              <w:suppressAutoHyphens/>
              <w:autoSpaceDE w:val="0"/>
              <w:autoSpaceDN w:val="0"/>
              <w:adjustRightInd w:val="0"/>
              <w:snapToGrid w:val="0"/>
              <w:spacing w:beforeLines="0" w:after="0" w:afterLines="0" w:line="240" w:lineRule="auto"/>
              <w:rPr>
                <w:rFonts w:hint="eastAsia" w:ascii="仿宋_GB2312" w:hAnsi="仿宋_GB2312" w:eastAsia="仿宋_GB2312" w:cs="仿宋_GB2312"/>
                <w:color w:val="000000"/>
                <w:sz w:val="20"/>
                <w:szCs w:val="20"/>
                <w:lang w:eastAsia="zh-CN"/>
              </w:rPr>
            </w:pPr>
            <w:r>
              <w:rPr>
                <w:rFonts w:hint="eastAsia" w:ascii="仿宋_GB2312" w:hAnsi="仿宋_GB2312" w:cs="仿宋_GB2312"/>
                <w:color w:val="000000"/>
                <w:sz w:val="20"/>
                <w:szCs w:val="20"/>
              </w:rPr>
              <w:t>可能造成人员重大伤亡或财产损失的中（扩）试项目，未采用远程控制技术，未控制现场实验人员数量。DCS控制室未设置可靠的安全隔离措施</w:t>
            </w:r>
            <w:r>
              <w:rPr>
                <w:rFonts w:hint="eastAsia" w:ascii="仿宋_GB2312" w:hAnsi="仿宋_GB2312" w:cs="仿宋_GB2312"/>
                <w:color w:val="000000"/>
                <w:sz w:val="20"/>
                <w:szCs w:val="20"/>
                <w:lang w:eastAsia="zh-CN"/>
              </w:rPr>
              <w:t>。</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可能造成人员重大伤亡或财产损失的中（扩）试项目，应采用远程控制技术，控制现场实验人员数量。DCS控制室应有可靠的安全隔离措施，以保护人员安全和各类运行数据的完整。</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第8.1.20条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15.2.03.1</w:t>
            </w:r>
            <w:r>
              <w:rPr>
                <w:rFonts w:hint="eastAsia" w:ascii="仿宋_GB2312" w:hAnsi="仿宋_GB2312" w:cs="仿宋_GB2312"/>
                <w:color w:val="000000"/>
                <w:sz w:val="20"/>
                <w:szCs w:val="20"/>
                <w:lang w:val="en-US" w:eastAsia="zh-CN"/>
              </w:rPr>
              <w:t>30</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辅助系统设备设施类</w:t>
            </w:r>
          </w:p>
        </w:tc>
        <w:tc>
          <w:tcPr>
            <w:tcW w:w="3225" w:type="dxa"/>
            <w:tcBorders>
              <w:tl2br w:val="nil"/>
              <w:tr2bl w:val="nil"/>
            </w:tcBorders>
            <w:noWrap w:val="0"/>
            <w:vAlign w:val="top"/>
          </w:tcPr>
          <w:p>
            <w:pPr>
              <w:suppressAutoHyphens/>
              <w:autoSpaceDE w:val="0"/>
              <w:autoSpaceDN w:val="0"/>
              <w:adjustRightInd w:val="0"/>
              <w:snapToGrid w:val="0"/>
              <w:spacing w:beforeLines="0" w:after="0" w:afterLines="0" w:line="240" w:lineRule="auto"/>
              <w:rPr>
                <w:rFonts w:hint="eastAsia" w:ascii="仿宋_GB2312" w:hAnsi="仿宋_GB2312" w:eastAsia="仿宋_GB2312" w:cs="仿宋_GB2312"/>
                <w:color w:val="000000"/>
                <w:sz w:val="20"/>
                <w:szCs w:val="20"/>
                <w:lang w:eastAsia="zh-CN"/>
              </w:rPr>
            </w:pPr>
            <w:r>
              <w:rPr>
                <w:rFonts w:hint="eastAsia" w:ascii="仿宋_GB2312" w:hAnsi="仿宋_GB2312" w:cs="仿宋_GB2312"/>
                <w:color w:val="000000"/>
                <w:sz w:val="20"/>
                <w:szCs w:val="20"/>
              </w:rPr>
              <w:t>涉氢实验项目开展前，未对实验样件、供排气管道、阀门和仪表连接处进行氢气泄漏量检测，当表面1cm处泄漏值大于百万分之十时未停止开展实验，未查找泄漏源并处理；实验过程中允许人员进入实验区域的涉氢实验项目，未每2h对环境中的氢气含量进行检测并记录</w:t>
            </w:r>
            <w:r>
              <w:rPr>
                <w:rFonts w:hint="eastAsia" w:ascii="仿宋_GB2312" w:hAnsi="仿宋_GB2312" w:cs="仿宋_GB2312"/>
                <w:color w:val="000000"/>
                <w:sz w:val="20"/>
                <w:szCs w:val="20"/>
                <w:lang w:eastAsia="zh-CN"/>
              </w:rPr>
              <w:t>。</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eastAsia="仿宋_GB2312" w:cs="仿宋_GB2312"/>
                <w:color w:val="000000"/>
                <w:sz w:val="20"/>
                <w:szCs w:val="20"/>
                <w:lang w:eastAsia="zh-CN"/>
              </w:rPr>
            </w:pPr>
            <w:r>
              <w:rPr>
                <w:rFonts w:hint="eastAsia" w:ascii="仿宋_GB2312" w:hAnsi="仿宋_GB2312" w:cs="仿宋_GB2312"/>
                <w:color w:val="000000"/>
                <w:sz w:val="20"/>
                <w:szCs w:val="20"/>
              </w:rPr>
              <w:t>涉氢实验项目开展前，应使用便携式氢气探测仪对实验样件、供排气管道、阀门和仪表连接处进行氢气泄漏量检测，当表面1cm处泄漏值大于百万分之十时停止开展实验，立即查找泄漏源并处理，二次测漏合格后方可继续实验准备工作；实验过程中允许人员进入实验区域的涉氢实验项目，应 每2h对环境中的氢气含量进行检测并记录</w:t>
            </w:r>
            <w:r>
              <w:rPr>
                <w:rFonts w:hint="eastAsia" w:ascii="仿宋_GB2312" w:hAnsi="仿宋_GB2312" w:cs="仿宋_GB2312"/>
                <w:color w:val="000000"/>
                <w:sz w:val="20"/>
                <w:szCs w:val="20"/>
                <w:lang w:eastAsia="zh-CN"/>
              </w:rPr>
              <w:t>。</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第8.1.14条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color w:val="EE000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15.2.03.1</w:t>
            </w:r>
            <w:r>
              <w:rPr>
                <w:rFonts w:hint="eastAsia" w:ascii="仿宋_GB2312" w:hAnsi="仿宋_GB2312" w:cs="仿宋_GB2312"/>
                <w:color w:val="000000"/>
                <w:sz w:val="20"/>
                <w:szCs w:val="20"/>
                <w:lang w:val="en-US" w:eastAsia="zh-CN"/>
              </w:rPr>
              <w:t>31</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辅助系统设备设施类</w:t>
            </w:r>
          </w:p>
        </w:tc>
        <w:tc>
          <w:tcPr>
            <w:tcW w:w="3225" w:type="dxa"/>
            <w:tcBorders>
              <w:tl2br w:val="nil"/>
              <w:tr2bl w:val="nil"/>
            </w:tcBorders>
            <w:noWrap w:val="0"/>
            <w:vAlign w:val="top"/>
          </w:tcPr>
          <w:p>
            <w:pPr>
              <w:suppressAutoHyphens/>
              <w:autoSpaceDE w:val="0"/>
              <w:autoSpaceDN w:val="0"/>
              <w:adjustRightInd w:val="0"/>
              <w:snapToGrid w:val="0"/>
              <w:spacing w:beforeLines="0" w:after="0" w:afterLines="0" w:line="240" w:lineRule="auto"/>
              <w:rPr>
                <w:rFonts w:hint="eastAsia" w:ascii="仿宋_GB2312" w:hAnsi="仿宋_GB2312" w:eastAsia="仿宋_GB2312" w:cs="仿宋_GB2312"/>
                <w:color w:val="000000"/>
                <w:sz w:val="20"/>
                <w:szCs w:val="20"/>
                <w:lang w:eastAsia="zh-CN"/>
              </w:rPr>
            </w:pPr>
            <w:r>
              <w:rPr>
                <w:rFonts w:hint="eastAsia" w:ascii="仿宋_GB2312" w:hAnsi="仿宋_GB2312" w:cs="仿宋_GB2312"/>
                <w:color w:val="000000"/>
                <w:sz w:val="20"/>
                <w:szCs w:val="20"/>
              </w:rPr>
              <w:t>涉氢实验未落实实验前“双确认”的安全措施。在实验所需水、电、气源管路和信号采集线路连接完毕后，未安排一名实验人员逐项确认检查，检查结果全部正常后，复核人员启动实验活动</w:t>
            </w:r>
            <w:r>
              <w:rPr>
                <w:rFonts w:hint="eastAsia" w:ascii="仿宋_GB2312" w:hAnsi="仿宋_GB2312" w:cs="仿宋_GB2312"/>
                <w:color w:val="000000"/>
                <w:sz w:val="20"/>
                <w:szCs w:val="20"/>
                <w:lang w:eastAsia="zh-CN"/>
              </w:rPr>
              <w:t>前</w:t>
            </w:r>
            <w:r>
              <w:rPr>
                <w:rFonts w:hint="eastAsia" w:ascii="仿宋_GB2312" w:hAnsi="仿宋_GB2312" w:cs="仿宋_GB2312"/>
                <w:color w:val="000000"/>
                <w:sz w:val="20"/>
                <w:szCs w:val="20"/>
              </w:rPr>
              <w:t>未开展二次确认检查</w:t>
            </w:r>
            <w:r>
              <w:rPr>
                <w:rFonts w:hint="eastAsia" w:ascii="仿宋_GB2312" w:hAnsi="仿宋_GB2312" w:cs="仿宋_GB2312"/>
                <w:color w:val="000000"/>
                <w:sz w:val="20"/>
                <w:szCs w:val="20"/>
                <w:lang w:eastAsia="zh-CN"/>
              </w:rPr>
              <w:t>。</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eastAsia="仿宋_GB2312" w:cs="仿宋_GB2312"/>
                <w:color w:val="000000"/>
                <w:sz w:val="20"/>
                <w:szCs w:val="20"/>
                <w:lang w:eastAsia="zh-CN"/>
              </w:rPr>
            </w:pPr>
            <w:r>
              <w:rPr>
                <w:rFonts w:hint="eastAsia" w:ascii="仿宋_GB2312" w:hAnsi="仿宋_GB2312" w:cs="仿宋_GB2312"/>
                <w:color w:val="000000"/>
                <w:sz w:val="20"/>
                <w:szCs w:val="20"/>
              </w:rPr>
              <w:t>涉氢实验应落实实验前“双确认”的安全措施。在实验所需水、电、气源管路和信号采集线路连接完毕后，由一名实验人员逐项确认检查，检查结果全部正常后，复核人员开展二次确认检查，检查结果全部正常后，实验活动方可启动</w:t>
            </w:r>
            <w:r>
              <w:rPr>
                <w:rFonts w:hint="eastAsia" w:ascii="仿宋_GB2312" w:hAnsi="仿宋_GB2312" w:cs="仿宋_GB2312"/>
                <w:color w:val="000000"/>
                <w:sz w:val="20"/>
                <w:szCs w:val="20"/>
                <w:lang w:eastAsia="zh-CN"/>
              </w:rPr>
              <w:t>。</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第8.1.15条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15.2.03.1</w:t>
            </w:r>
            <w:r>
              <w:rPr>
                <w:rFonts w:hint="eastAsia" w:ascii="仿宋_GB2312" w:hAnsi="仿宋_GB2312" w:cs="仿宋_GB2312"/>
                <w:color w:val="000000"/>
                <w:sz w:val="20"/>
                <w:szCs w:val="20"/>
                <w:lang w:val="en-US" w:eastAsia="zh-CN"/>
              </w:rPr>
              <w:t>32</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辅助系统设备设施类</w:t>
            </w:r>
          </w:p>
        </w:tc>
        <w:tc>
          <w:tcPr>
            <w:tcW w:w="3225" w:type="dxa"/>
            <w:tcBorders>
              <w:tl2br w:val="nil"/>
              <w:tr2bl w:val="nil"/>
            </w:tcBorders>
            <w:noWrap w:val="0"/>
            <w:vAlign w:val="top"/>
          </w:tcPr>
          <w:p>
            <w:pPr>
              <w:suppressAutoHyphens/>
              <w:autoSpaceDE w:val="0"/>
              <w:autoSpaceDN w:val="0"/>
              <w:adjustRightInd w:val="0"/>
              <w:snapToGrid w:val="0"/>
              <w:spacing w:beforeLines="0" w:after="0" w:afterLines="0" w:line="240" w:lineRule="auto"/>
              <w:rPr>
                <w:rFonts w:hint="eastAsia" w:ascii="仿宋_GB2312" w:hAnsi="仿宋_GB2312" w:eastAsia="仿宋_GB2312" w:cs="仿宋_GB2312"/>
                <w:color w:val="000000"/>
                <w:sz w:val="20"/>
                <w:szCs w:val="20"/>
                <w:lang w:eastAsia="zh-CN"/>
              </w:rPr>
            </w:pPr>
            <w:r>
              <w:rPr>
                <w:rFonts w:hint="eastAsia" w:ascii="仿宋_GB2312" w:hAnsi="仿宋_GB2312" w:cs="仿宋_GB2312"/>
                <w:color w:val="000000"/>
                <w:sz w:val="20"/>
                <w:szCs w:val="20"/>
              </w:rPr>
              <w:t>开展氢循环、加压、燃烧、爆破等危险度较高的涉氢实验时，未禁止人员进入实验区。未在进入实验区的门上明显位置张贴或悬挂警示标志，未启用门禁等设施限制人员进入</w:t>
            </w:r>
            <w:r>
              <w:rPr>
                <w:rFonts w:hint="eastAsia" w:ascii="仿宋_GB2312" w:hAnsi="仿宋_GB2312" w:cs="仿宋_GB2312"/>
                <w:color w:val="000000"/>
                <w:sz w:val="20"/>
                <w:szCs w:val="20"/>
                <w:lang w:eastAsia="zh-CN"/>
              </w:rPr>
              <w:t>。</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eastAsia="仿宋_GB2312" w:cs="仿宋_GB2312"/>
                <w:color w:val="000000"/>
                <w:sz w:val="20"/>
                <w:szCs w:val="20"/>
                <w:lang w:eastAsia="zh-CN"/>
              </w:rPr>
            </w:pPr>
            <w:r>
              <w:rPr>
                <w:rFonts w:hint="eastAsia" w:ascii="仿宋_GB2312" w:hAnsi="仿宋_GB2312" w:cs="仿宋_GB2312"/>
                <w:color w:val="000000"/>
                <w:sz w:val="20"/>
                <w:szCs w:val="20"/>
              </w:rPr>
              <w:t>开展氢循环、加压、燃烧、爆破等危险度较高的涉氢实验时，实验区禁止人员进入。在进入实验区的门上明显位置张贴或悬挂警示标志并启用门禁等设施限制人员进入</w:t>
            </w:r>
            <w:r>
              <w:rPr>
                <w:rFonts w:hint="eastAsia" w:ascii="仿宋_GB2312" w:hAnsi="仿宋_GB2312" w:cs="仿宋_GB2312"/>
                <w:color w:val="000000"/>
                <w:sz w:val="20"/>
                <w:szCs w:val="20"/>
                <w:lang w:eastAsia="zh-CN"/>
              </w:rPr>
              <w:t>。</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第8.1.16条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15.3.02.1</w:t>
            </w:r>
            <w:r>
              <w:rPr>
                <w:rFonts w:hint="eastAsia" w:ascii="仿宋_GB2312" w:hAnsi="仿宋_GB2312" w:cs="仿宋_GB2312"/>
                <w:color w:val="000000"/>
                <w:sz w:val="20"/>
                <w:szCs w:val="20"/>
                <w:lang w:val="en-US" w:eastAsia="zh-CN"/>
              </w:rPr>
              <w:t>33</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科研项目未遵循从小试到中试的程序，擅自进行扩大性试验。</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实验室开展中试性质或工业放大性质的实验研究。</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科研项目应遵循从小试到中试的程序，必要时应进行扩大性试验。</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实验室不应开展中试性质或工业放大性质的实验研究。</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第7.5.9条；</w:t>
            </w:r>
          </w:p>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第8.1.17条；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15.1.07.1</w:t>
            </w:r>
            <w:r>
              <w:rPr>
                <w:rFonts w:hint="eastAsia" w:ascii="仿宋_GB2312" w:hAnsi="仿宋_GB2312" w:cs="仿宋_GB2312"/>
                <w:color w:val="000000"/>
                <w:sz w:val="20"/>
                <w:szCs w:val="20"/>
                <w:lang w:val="en-US" w:eastAsia="zh-CN"/>
              </w:rPr>
              <w:t>34</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基础资料类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风险辨识类</w:t>
            </w:r>
          </w:p>
        </w:tc>
        <w:tc>
          <w:tcPr>
            <w:tcW w:w="3225" w:type="dxa"/>
            <w:tcBorders>
              <w:tl2br w:val="nil"/>
              <w:tr2bl w:val="nil"/>
            </w:tcBorders>
            <w:noWrap w:val="0"/>
            <w:vAlign w:val="top"/>
          </w:tcPr>
          <w:p>
            <w:pPr>
              <w:suppressAutoHyphens/>
              <w:autoSpaceDE w:val="0"/>
              <w:autoSpaceDN w:val="0"/>
              <w:adjustRightInd w:val="0"/>
              <w:snapToGrid w:val="0"/>
              <w:spacing w:beforeLines="0" w:after="0" w:afterLines="0" w:line="240" w:lineRule="auto"/>
              <w:rPr>
                <w:rFonts w:hint="eastAsia" w:ascii="仿宋_GB2312" w:hAnsi="仿宋_GB2312" w:eastAsia="仿宋_GB2312" w:cs="仿宋_GB2312"/>
                <w:color w:val="000000"/>
                <w:sz w:val="20"/>
                <w:szCs w:val="20"/>
                <w:lang w:eastAsia="zh-CN"/>
              </w:rPr>
            </w:pPr>
            <w:r>
              <w:rPr>
                <w:rFonts w:hint="eastAsia" w:ascii="仿宋_GB2312" w:hAnsi="仿宋_GB2312" w:cs="仿宋_GB2312"/>
                <w:color w:val="000000"/>
                <w:sz w:val="20"/>
                <w:szCs w:val="20"/>
              </w:rPr>
              <w:t>新产品试制未进行安全风险评估，未落实风险管控措施。安全风险评估未分析实验所用原料、辅料、中间产品、产品和副产品的有关理化特性，</w:t>
            </w:r>
            <w:r>
              <w:rPr>
                <w:rFonts w:hint="eastAsia" w:ascii="仿宋_GB2312" w:hAnsi="仿宋_GB2312" w:cs="仿宋_GB2312"/>
                <w:color w:val="000000"/>
                <w:sz w:val="20"/>
                <w:szCs w:val="20"/>
                <w:lang w:eastAsia="zh-CN"/>
              </w:rPr>
              <w:t>未</w:t>
            </w:r>
            <w:r>
              <w:rPr>
                <w:rFonts w:hint="eastAsia" w:ascii="仿宋_GB2312" w:hAnsi="仿宋_GB2312" w:cs="仿宋_GB2312"/>
                <w:color w:val="000000"/>
                <w:sz w:val="20"/>
                <w:szCs w:val="20"/>
              </w:rPr>
              <w:t>辨识实验过程中的危害因素，</w:t>
            </w:r>
            <w:r>
              <w:rPr>
                <w:rFonts w:hint="eastAsia" w:ascii="仿宋_GB2312" w:hAnsi="仿宋_GB2312" w:cs="仿宋_GB2312"/>
                <w:color w:val="000000"/>
                <w:sz w:val="20"/>
                <w:szCs w:val="20"/>
                <w:lang w:eastAsia="zh-CN"/>
              </w:rPr>
              <w:t>未</w:t>
            </w:r>
            <w:r>
              <w:rPr>
                <w:rFonts w:hint="eastAsia" w:ascii="仿宋_GB2312" w:hAnsi="仿宋_GB2312" w:cs="仿宋_GB2312"/>
                <w:color w:val="000000"/>
                <w:sz w:val="20"/>
                <w:szCs w:val="20"/>
              </w:rPr>
              <w:t>提出有效的防范措施</w:t>
            </w:r>
            <w:r>
              <w:rPr>
                <w:rFonts w:hint="eastAsia" w:ascii="仿宋_GB2312" w:hAnsi="仿宋_GB2312" w:cs="仿宋_GB2312"/>
                <w:color w:val="000000"/>
                <w:sz w:val="20"/>
                <w:szCs w:val="20"/>
                <w:lang w:eastAsia="zh-CN"/>
              </w:rPr>
              <w:t>。</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新产品试制应进行安全风险评估，并落实风险管控措施。安全风险评估应分析实验所用原料、辅料、中间产品、产品和副产品的有关理化特性，辨识实验过程中的危害因素，提出有效的防范措施。</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第8.1.18条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15.3.02.1</w:t>
            </w:r>
            <w:r>
              <w:rPr>
                <w:rFonts w:hint="eastAsia" w:ascii="仿宋_GB2312" w:hAnsi="仿宋_GB2312" w:cs="仿宋_GB2312"/>
                <w:color w:val="000000"/>
                <w:sz w:val="20"/>
                <w:szCs w:val="20"/>
                <w:lang w:val="en-US" w:eastAsia="zh-CN"/>
              </w:rPr>
              <w:t>35</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科研单位实验室首次投料及投料实验初期，项目负责人、技术负责人和安全管理人员擅离岗位。遇有异常情况，未及时停止实验并采取相应措施，确认安全后再继续实验。</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首次投料及投料实验初期，项目负责人、技术负责人和安全管理人员不得擅离岗位。遇有异常情况，应及时停止实验并采取相应措施，确认安全后再继续实验。</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第8.1.19条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15.3.02.1</w:t>
            </w:r>
            <w:r>
              <w:rPr>
                <w:rFonts w:hint="eastAsia" w:ascii="仿宋_GB2312" w:hAnsi="仿宋_GB2312" w:cs="仿宋_GB2312"/>
                <w:color w:val="000000"/>
                <w:sz w:val="20"/>
                <w:szCs w:val="20"/>
                <w:lang w:val="en-US" w:eastAsia="zh-CN"/>
              </w:rPr>
              <w:t>36</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危险化学品的移取、称量，未根据其危险特性，在通风橱、平衡通风罩、手套箱或特定的区域进行。</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危险化学品的移取、称量，应根据其危险特性，在通风橱、平衡通风罩、手套箱或特定的区域进行。</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第7.5.4条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15.3.02.1</w:t>
            </w:r>
            <w:r>
              <w:rPr>
                <w:rFonts w:hint="eastAsia" w:ascii="仿宋_GB2312" w:hAnsi="仿宋_GB2312" w:cs="仿宋_GB2312"/>
                <w:color w:val="000000"/>
                <w:sz w:val="20"/>
                <w:szCs w:val="20"/>
                <w:lang w:val="en-US" w:eastAsia="zh-CN"/>
              </w:rPr>
              <w:t>37</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在密闭场所使用易燃溶剂擦拭、清洗设备、部件，场所内有点火源。</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不应在密闭场所使用易燃溶剂擦拭、清洗设备、部件，场所内不应有点火源。</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第7.5.6条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15.2.09.1</w:t>
            </w:r>
            <w:r>
              <w:rPr>
                <w:rFonts w:hint="eastAsia" w:ascii="仿宋_GB2312" w:hAnsi="仿宋_GB2312" w:cs="仿宋_GB2312"/>
                <w:color w:val="000000"/>
                <w:sz w:val="20"/>
                <w:szCs w:val="20"/>
                <w:lang w:val="en-US" w:eastAsia="zh-CN"/>
              </w:rPr>
              <w:t>38</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监控系统类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实验设备的报警数据、设备启停状态数据未建立报警处置记录本，记录的报警未处置未闭环。</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未接入智慧实验室安全管控平台，不支持信息查询、可视化展示及多维度统计分析，未实现对实验设备的实时监测、报警管理和报警分析等功能。</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实验设备的报警数据、设备启停状态数据宜接入智慧实验室安全管控平台，支持信息查询、可视化展示及多维度统计分析，实现对实验设备的实时监测、报警管理和报警分析等功能。</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《安全生产等级评定技术规范第2部分：安全生产通用要求》（DB11/T 1322.2-2017）第3.1.7.3条；</w:t>
            </w:r>
          </w:p>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第8.2.10条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15.2.09.1</w:t>
            </w:r>
            <w:r>
              <w:rPr>
                <w:rFonts w:hint="eastAsia" w:ascii="仿宋_GB2312" w:hAnsi="仿宋_GB2312" w:cs="仿宋_GB2312"/>
                <w:color w:val="000000"/>
                <w:sz w:val="20"/>
                <w:szCs w:val="20"/>
                <w:lang w:val="en-US" w:eastAsia="zh-CN"/>
              </w:rPr>
              <w:t>39</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监控系统类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可燃、有毒气体及氧气探测器未定期检定或校准，周期超过1年。</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未按法律法规以及行业标准、安全技术规范等规定要求落实重大设施设备（包括存储剧毒、易制爆化学品，危废贮存站，备案生物实验室，涉源场所，特种设备等设施设备）定期环评、检测、监测、维保。</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气体探测器应定期检定或校准，周期应不超过1年。</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第六条（八）未按法律法规以及行业标准、安全技术规范等规定要求落实重大设施设备（包括存储剧毒、易制爆化学品，危废贮存站，备案生物实验室，涉源场所，特种设备等设施设备）定期环评、检测、监测、维保的。</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《教育系统重大事故隐患判定指南》第六条（八）；</w:t>
            </w:r>
          </w:p>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《可燃气体检测报警器》（JJG 693-2011）第5.5条；</w:t>
            </w:r>
          </w:p>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rPr>
              <w:t>《实验室危险化学品安全管理要求 第2部分：普通高等学校》</w:t>
            </w:r>
            <w:r>
              <w:rPr>
                <w:rFonts w:hint="eastAsia" w:ascii="仿宋_GB2312" w:hAnsi="仿宋_GB2312" w:cs="仿宋_GB2312"/>
                <w:color w:val="000000"/>
                <w:sz w:val="20"/>
                <w:szCs w:val="20"/>
                <w:lang w:eastAsia="zh-CN"/>
              </w:rPr>
              <w:t>（DB11/T 1191.2-2025）</w:t>
            </w:r>
            <w:r>
              <w:rPr>
                <w:rFonts w:hint="eastAsia" w:ascii="仿宋_GB2312" w:hAnsi="仿宋_GB2312" w:cs="仿宋_GB2312"/>
                <w:color w:val="000000"/>
                <w:sz w:val="20"/>
                <w:szCs w:val="20"/>
              </w:rPr>
              <w:t xml:space="preserve">第5.1.7条e）; </w:t>
            </w:r>
          </w:p>
          <w:p>
            <w:pPr>
              <w:suppressAutoHyphens/>
              <w:autoSpaceDE w:val="0"/>
              <w:autoSpaceDN w:val="0"/>
              <w:adjustRightInd w:val="0"/>
              <w:snapToGrid w:val="0"/>
              <w:spacing w:beforeLines="0" w:after="0" w:afterLines="0" w:line="240" w:lineRule="auto"/>
              <w:jc w:val="both"/>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第6.1.4条</w:t>
            </w:r>
          </w:p>
        </w:tc>
        <w:tc>
          <w:tcPr>
            <w:tcW w:w="383" w:type="dxa"/>
            <w:tcBorders>
              <w:tl2br w:val="nil"/>
              <w:tr2bl w:val="nil"/>
            </w:tcBorders>
            <w:noWrap w:val="0"/>
            <w:vAlign w:val="center"/>
          </w:tcPr>
          <w:p>
            <w:pPr>
              <w:widowControl/>
              <w:suppressAutoHyphens/>
              <w:adjustRightInd w:val="0"/>
              <w:snapToGrid w:val="0"/>
              <w:spacing w:beforeLines="0" w:after="0" w:afterLines="0" w:line="240" w:lineRule="auto"/>
              <w:jc w:val="center"/>
              <w:rPr>
                <w:rFonts w:hint="eastAsia" w:ascii="仿宋_GB2312" w:hAnsi="黑体" w:cs="宋体"/>
                <w:b/>
                <w:kern w:val="0"/>
                <w:sz w:val="20"/>
                <w:szCs w:val="20"/>
              </w:rPr>
            </w:pPr>
            <w:r>
              <w:rPr>
                <w:rFonts w:hint="eastAsia" w:ascii="仿宋_GB2312" w:hAnsi="仿宋_GB2312" w:cs="仿宋_GB2312"/>
                <w:b/>
                <w:color w:val="000000"/>
                <w:kern w:val="0"/>
                <w:sz w:val="20"/>
                <w:szCs w:val="20"/>
              </w:rPr>
              <w:t>★2</w:t>
            </w:r>
          </w:p>
        </w:tc>
      </w:tr>
      <w:tr>
        <w:trPr>
          <w:trHeight w:val="455" w:hRule="atLeast"/>
          <w:jc w:val="center"/>
        </w:trPr>
        <w:tc>
          <w:tcPr>
            <w:tcW w:w="14567" w:type="dxa"/>
            <w:gridSpan w:val="7"/>
            <w:tcBorders>
              <w:tl2br w:val="nil"/>
              <w:tr2bl w:val="nil"/>
            </w:tcBorders>
            <w:shd w:val="clear" w:color="auto" w:fill="95B3D7"/>
            <w:noWrap w:val="0"/>
            <w:vAlign w:val="center"/>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rPr>
            </w:pPr>
            <w:r>
              <w:rPr>
                <w:rFonts w:hint="eastAsia" w:ascii="仿宋_GB2312" w:hAnsi="仿宋_GB2312" w:cs="仿宋_GB2312"/>
                <w:b/>
                <w:bCs w:val="0"/>
                <w:color w:val="000000"/>
                <w:kern w:val="0"/>
                <w:sz w:val="20"/>
                <w:szCs w:val="20"/>
                <w:lang w:bidi="ar"/>
              </w:rPr>
              <w:t>专用仓库、气瓶库</w:t>
            </w: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15.2.12.1</w:t>
            </w:r>
            <w:r>
              <w:rPr>
                <w:rFonts w:hint="eastAsia" w:ascii="仿宋_GB2312" w:hAnsi="仿宋_GB2312" w:cs="仿宋_GB2312"/>
                <w:color w:val="000000"/>
                <w:sz w:val="20"/>
                <w:szCs w:val="20"/>
                <w:lang w:val="en-US" w:eastAsia="zh-CN"/>
              </w:rPr>
              <w:t>40</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易燃液体类、氧化性物质和有机过氧化物类、腐蚀类存放总量 超过规定量应设置未设置危险化学品专用仓库或气瓶库。</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下列情况应设置危险化学品专用仓库：</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a） 易燃液体类危险化学品存放总量 0.5 t以上或超过一昼夜使用量；</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b）氧化性物质和有机过氧化物类危险化学品存放总量 0.5 t以上或超过一昼夜使用量；</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c） 腐蚀类危险化学品存放总量 1 t 以上或超过一昼夜使用量。</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d）在不违反危险化学品储存禁忌规定的情况下，单一储存室内存储的危险化学品为多品种时，按照式（1）计算，a 的值不小于 1。</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a = q1/Q1 + q2/Q2 + ...+ qn/Qn ......</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式中：q1,q2,…,qn ——每类危险化学品的实际存放量；</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Q1,Q2,…,Qn ——每类危险化学品相对应的最大存放量。</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下列情况应设置气瓶库:</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a） 易燃气体存放总量 36 Nm3（如工作压力 15 MPa 时相当于 40 L 的 6 瓶）以上或超过一昼夜使用量；</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b） 非易燃无毒气体存放总量 60 Nm3（如工作压力 15 MPa 时相当于 40 L 的 10 瓶）以上或超过一昼夜使用量；</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c）在不违反危险化学品储存禁忌规定的情况下，单一气瓶室内存储的气瓶为多品种时，按照式（1）计算，a的值不小于 1。</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a = q1/Q1 + q2/Q2 + ...+ qn/Qn ...... （1）</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式中：q1,q2,…,qn ——每类危险化学品的实际存放量；</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Q1,Q2,…,Qn ——每类危险化学品相对应的最大存放量。</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d） 一个防火分区内布置2间及以上危险化学品气瓶库时，危险化学品储存总量应合并计算，并超过1间危险化学品气瓶库的存放总量要求。</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lang w:eastAsia="zh-CN"/>
              </w:rPr>
            </w:pPr>
            <w:r>
              <w:rPr>
                <w:rFonts w:hint="eastAsia" w:ascii="仿宋_GB2312" w:hAnsi="仿宋_GB2312" w:cs="仿宋_GB2312"/>
                <w:color w:val="000000"/>
                <w:sz w:val="20"/>
                <w:szCs w:val="20"/>
                <w:lang w:eastAsia="zh-CN"/>
              </w:rPr>
              <w:t>《安全生产等级评定技术规范 第2部分：安全生产通用要求》</w:t>
            </w:r>
            <w:r>
              <w:rPr>
                <w:rFonts w:hint="eastAsia" w:ascii="仿宋_GB2312" w:hAnsi="仿宋_GB2312" w:cs="仿宋_GB2312"/>
                <w:color w:val="000000"/>
                <w:sz w:val="20"/>
                <w:szCs w:val="20"/>
              </w:rPr>
              <w:t>（DB11/T 1322.2-2017）</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15.4.01.1</w:t>
            </w:r>
            <w:r>
              <w:rPr>
                <w:rFonts w:hint="eastAsia" w:ascii="仿宋_GB2312" w:hAnsi="仿宋_GB2312" w:cs="仿宋_GB2312"/>
                <w:color w:val="000000"/>
                <w:sz w:val="20"/>
                <w:szCs w:val="20"/>
                <w:lang w:val="en-US" w:eastAsia="zh-CN"/>
              </w:rPr>
              <w:t>41</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平面布置类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危险化学品仓库未独立设置。</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 xml:space="preserve">危险化学品仓库应独立设置 </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lang w:eastAsia="zh-CN"/>
              </w:rPr>
            </w:pPr>
            <w:r>
              <w:rPr>
                <w:rFonts w:hint="eastAsia" w:ascii="仿宋_GB2312" w:hAnsi="仿宋_GB2312" w:cs="仿宋_GB2312"/>
                <w:color w:val="000000"/>
                <w:sz w:val="20"/>
                <w:szCs w:val="20"/>
              </w:rPr>
              <w:t>《危险化学品储存场所建设及储存安全要求》（DB11/T 755）第4.2.3条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15.4.04.1</w:t>
            </w:r>
            <w:r>
              <w:rPr>
                <w:rFonts w:hint="eastAsia" w:ascii="仿宋_GB2312" w:hAnsi="仿宋_GB2312" w:cs="仿宋_GB2312"/>
                <w:color w:val="000000"/>
                <w:sz w:val="20"/>
                <w:szCs w:val="20"/>
                <w:lang w:val="en-US" w:eastAsia="zh-CN"/>
              </w:rPr>
              <w:t>42</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作业环境类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甲类、乙类仓库内设置办公室、休息室等辅助用房；与办公室、休息室等辅助用房及其他场所贴邻；丙类、丁类仓库内的办公室、休息室等辅助用房，未采用防火门、防火窗、耐火极限低于2.00h的防火隔墙和耐火极限低于1.00h的楼板，未与其他部位分隔，未设置独立的安全出口。</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甲类、乙类仓库内不应设置办公室、休息室等辅助用房，不应与办公室、休息室等辅助用房及其他场所贴邻。丙类、丁类仓库内的办公室、休息室等辅助用房，应采用防火门、防火窗、耐火极限不低于2.00h的防火隔墙和耐火极限不低于1.00h的楼板，并与其他部位分隔，并应设置独立的安全出口。</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lang w:eastAsia="zh-CN"/>
              </w:rPr>
            </w:pPr>
            <w:r>
              <w:rPr>
                <w:rFonts w:hint="eastAsia" w:ascii="仿宋_GB2312" w:hAnsi="仿宋_GB2312" w:cs="仿宋_GB2312"/>
                <w:color w:val="000000"/>
                <w:sz w:val="20"/>
                <w:szCs w:val="20"/>
              </w:rPr>
              <w:t>《危险化学品储存场所建设及储存安全要求》（DB11/T 755）第4.2.4条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15.4.04.1</w:t>
            </w:r>
            <w:r>
              <w:rPr>
                <w:rFonts w:hint="eastAsia" w:ascii="仿宋_GB2312" w:hAnsi="仿宋_GB2312" w:cs="仿宋_GB2312"/>
                <w:color w:val="000000"/>
                <w:sz w:val="20"/>
                <w:szCs w:val="20"/>
                <w:lang w:val="en-US" w:eastAsia="zh-CN"/>
              </w:rPr>
              <w:t>43</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作业环境类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仓库内的防火分区或库房之间未采用防火墙分隔，甲类、乙类库房内的防火分区或库房之间未采用无任何开口的防火墙分隔。</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仓库内的防火分区或库房之间应采用防火墙分隔，甲类、乙类库房内的防火分区或库房之间应采用无任何开口的防火墙分隔。</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lang w:eastAsia="zh-CN"/>
              </w:rPr>
            </w:pPr>
            <w:r>
              <w:rPr>
                <w:rFonts w:hint="eastAsia" w:ascii="仿宋_GB2312" w:hAnsi="仿宋_GB2312" w:cs="仿宋_GB2312"/>
                <w:color w:val="000000"/>
                <w:sz w:val="20"/>
                <w:szCs w:val="20"/>
              </w:rPr>
              <w:t>《危险化学品储存场所建设及储存安全要求》（DB11/T 755）第4.2.5条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15.4.04.1</w:t>
            </w:r>
            <w:r>
              <w:rPr>
                <w:rFonts w:hint="eastAsia" w:ascii="仿宋_GB2312" w:hAnsi="仿宋_GB2312" w:cs="仿宋_GB2312"/>
                <w:color w:val="000000"/>
                <w:sz w:val="20"/>
                <w:szCs w:val="20"/>
                <w:lang w:val="en-US" w:eastAsia="zh-CN"/>
              </w:rPr>
              <w:t>44</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作业环境类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占地面积大于300m²的仓库，安全出口少于2个；仓库内每个建筑面积大于100m²的房间的疏散出口少于2个。</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占地面积大于300m²的仓库，安全出口不应少于2个；仓库内每个建筑面积大于100m²的房间的疏散出口不应少于2个。</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lang w:eastAsia="zh-CN"/>
              </w:rPr>
            </w:pPr>
            <w:r>
              <w:rPr>
                <w:rFonts w:hint="eastAsia" w:ascii="仿宋_GB2312" w:hAnsi="仿宋_GB2312" w:cs="仿宋_GB2312"/>
                <w:color w:val="000000"/>
                <w:sz w:val="20"/>
                <w:szCs w:val="20"/>
              </w:rPr>
              <w:t>《危险化学品储存场所建设及储存安全要求》（DB11/T 755）第4.2.6条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15.4.04.1</w:t>
            </w:r>
            <w:r>
              <w:rPr>
                <w:rFonts w:hint="eastAsia" w:ascii="仿宋_GB2312" w:hAnsi="仿宋_GB2312" w:cs="仿宋_GB2312"/>
                <w:color w:val="000000"/>
                <w:sz w:val="20"/>
                <w:szCs w:val="20"/>
                <w:lang w:val="en-US" w:eastAsia="zh-CN"/>
              </w:rPr>
              <w:t>45</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作业环境类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危险化学品仓库门未采用具有防火、防静电、防腐、不产生火花等功能的材料制成，门未向疏散方向开启。</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危险化学品仓库门应根据危险化学品性质相应采用具有防火、防静电、防腐、不产生火花等功能的材料制成，门应向疏散方向开启。</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lang w:eastAsia="zh-CN"/>
              </w:rPr>
            </w:pPr>
            <w:r>
              <w:rPr>
                <w:rFonts w:hint="eastAsia" w:ascii="仿宋_GB2312" w:hAnsi="仿宋_GB2312" w:cs="仿宋_GB2312"/>
                <w:color w:val="000000"/>
                <w:sz w:val="20"/>
                <w:szCs w:val="20"/>
              </w:rPr>
              <w:t>《危险化学品储存场所建设及储存安全要求》（DB11/T 755）第4.2.7条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15.1.07.1</w:t>
            </w:r>
            <w:r>
              <w:rPr>
                <w:rFonts w:hint="eastAsia" w:ascii="仿宋_GB2312" w:hAnsi="仿宋_GB2312" w:cs="仿宋_GB2312"/>
                <w:color w:val="000000"/>
                <w:sz w:val="20"/>
                <w:szCs w:val="20"/>
                <w:lang w:val="en-US" w:eastAsia="zh-CN"/>
              </w:rPr>
              <w:t>46</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基础资料类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风险辨识类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危险化学品仓库未确定爆炸危险区域。</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危险化学品仓库应根据存储的危险化学品的性质确定爆炸危险区域。</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lang w:eastAsia="zh-CN"/>
              </w:rPr>
            </w:pPr>
            <w:r>
              <w:rPr>
                <w:rFonts w:hint="eastAsia" w:ascii="仿宋_GB2312" w:hAnsi="仿宋_GB2312" w:cs="仿宋_GB2312"/>
                <w:color w:val="000000"/>
                <w:sz w:val="20"/>
                <w:szCs w:val="20"/>
              </w:rPr>
              <w:t>《危险化学品储存场所建设及储存安全要求》（DB11/T 755）第4.2.8条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15.2.09.1</w:t>
            </w:r>
            <w:r>
              <w:rPr>
                <w:rFonts w:hint="eastAsia" w:ascii="仿宋_GB2312" w:hAnsi="仿宋_GB2312" w:cs="仿宋_GB2312"/>
                <w:color w:val="000000"/>
                <w:sz w:val="20"/>
                <w:szCs w:val="20"/>
                <w:lang w:val="en-US" w:eastAsia="zh-CN"/>
              </w:rPr>
              <w:t>47</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监控系统类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照明设施和电气设备的配电箱及电气开关未可靠接地，未安装过电压保护、过电流保护、电击防护、电气火灾监控等保护措施。</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危险化学品仓库的配电箱及照明、通风等电气设备的开关应设置在仓库外，仓库爆炸危险区域内的电气设备和输配电线路的设计、选型、安装应符合GB 3836.15、GB 50058的要求。照明设施和电气设备的配电箱及电气开关应可靠接地，安装过电压保护、过电流保护、电击防护、电气火灾监控等保护措施，仓库外的电气设备应根据安装环境条件，选择适宜的IP外壳防护等级。</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lang w:eastAsia="zh-CN"/>
              </w:rPr>
            </w:pPr>
            <w:r>
              <w:rPr>
                <w:rFonts w:hint="eastAsia" w:ascii="仿宋_GB2312" w:hAnsi="仿宋_GB2312" w:cs="仿宋_GB2312"/>
                <w:color w:val="000000"/>
                <w:sz w:val="20"/>
                <w:szCs w:val="20"/>
              </w:rPr>
              <w:t>《危险化学品储存场所建设及储存安全要求》（DB11/T 755）第4.2.10条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15.2.09.1</w:t>
            </w:r>
            <w:r>
              <w:rPr>
                <w:rFonts w:hint="eastAsia" w:ascii="仿宋_GB2312" w:hAnsi="仿宋_GB2312" w:cs="仿宋_GB2312"/>
                <w:color w:val="000000"/>
                <w:sz w:val="20"/>
                <w:szCs w:val="20"/>
                <w:lang w:val="en-US" w:eastAsia="zh-CN"/>
              </w:rPr>
              <w:t>48</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监控系统类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电气火灾监控系统未独立组成，电气火灾监控探测器的设置影响所在场所供配电系统的正常工作。</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电气火灾监控系统应独立组成，电气火灾监控探测器的设置不应影响所在场所供配电系统的正常工作。</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lang w:eastAsia="zh-CN"/>
              </w:rPr>
            </w:pPr>
            <w:r>
              <w:rPr>
                <w:rFonts w:hint="eastAsia" w:ascii="仿宋_GB2312" w:hAnsi="仿宋_GB2312" w:cs="仿宋_GB2312"/>
                <w:color w:val="000000"/>
                <w:sz w:val="20"/>
                <w:szCs w:val="20"/>
              </w:rPr>
              <w:t>《危险化学品储存场所建设及储存安全要求》（DB11/T 755）第4.2.11条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15.2.09.1</w:t>
            </w:r>
            <w:r>
              <w:rPr>
                <w:rFonts w:hint="eastAsia" w:ascii="仿宋_GB2312" w:hAnsi="仿宋_GB2312" w:cs="仿宋_GB2312"/>
                <w:color w:val="000000"/>
                <w:sz w:val="20"/>
                <w:szCs w:val="20"/>
                <w:lang w:val="en-US" w:eastAsia="zh-CN"/>
              </w:rPr>
              <w:t>49</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监控系统类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仓库及其出入口未设置视频监控设备。</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危险化学品仓库及其出入口应设置视频监控设备。视频监控系统建设应符合DB11/T 384（所有部分）的要求。</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lang w:eastAsia="zh-CN"/>
              </w:rPr>
            </w:pPr>
            <w:r>
              <w:rPr>
                <w:rFonts w:hint="eastAsia" w:ascii="仿宋_GB2312" w:hAnsi="仿宋_GB2312" w:cs="仿宋_GB2312"/>
                <w:color w:val="000000"/>
                <w:sz w:val="20"/>
                <w:szCs w:val="20"/>
              </w:rPr>
              <w:t>《危险化学品储存场所建设及储存安全要求》（DB11/T 755）第4.2.12条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15.2.09.1</w:t>
            </w:r>
            <w:r>
              <w:rPr>
                <w:rFonts w:hint="eastAsia" w:ascii="仿宋_GB2312" w:hAnsi="仿宋_GB2312" w:cs="仿宋_GB2312"/>
                <w:color w:val="000000"/>
                <w:sz w:val="20"/>
                <w:szCs w:val="20"/>
                <w:lang w:val="en-US" w:eastAsia="zh-CN"/>
              </w:rPr>
              <w:t>50</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监控系统类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仓库的防雷、防静电等不符合要求。</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危险化学品仓库的防雷、防静电等不符合GB 50016、GB 50037、GB 50057、GB 12158的要求。</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lang w:eastAsia="zh-CN"/>
              </w:rPr>
            </w:pPr>
            <w:r>
              <w:rPr>
                <w:rFonts w:hint="eastAsia" w:ascii="仿宋_GB2312" w:hAnsi="仿宋_GB2312" w:cs="仿宋_GB2312"/>
                <w:color w:val="000000"/>
                <w:sz w:val="20"/>
                <w:szCs w:val="20"/>
              </w:rPr>
              <w:t>《危险化学品储存场所建设及储存安全要求》（DB11/T 755）第4.2.13条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15.4.04.1</w:t>
            </w:r>
            <w:r>
              <w:rPr>
                <w:rFonts w:hint="eastAsia" w:ascii="仿宋_GB2312" w:hAnsi="仿宋_GB2312" w:cs="仿宋_GB2312"/>
                <w:color w:val="000000"/>
                <w:sz w:val="20"/>
                <w:szCs w:val="20"/>
                <w:lang w:val="en-US" w:eastAsia="zh-CN"/>
              </w:rPr>
              <w:t>51</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作业环境类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气瓶仓库围墙非三面实墙，屋顶非轻质不燃材料。</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气体经营单位的气瓶仓库围墙至少应为三面实墙，屋顶为轻质不燃材料。</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lang w:eastAsia="zh-CN"/>
              </w:rPr>
            </w:pPr>
            <w:r>
              <w:rPr>
                <w:rFonts w:hint="eastAsia" w:ascii="仿宋_GB2312" w:hAnsi="仿宋_GB2312" w:cs="仿宋_GB2312"/>
                <w:color w:val="000000"/>
                <w:sz w:val="20"/>
                <w:szCs w:val="20"/>
              </w:rPr>
              <w:t>《危险化学品储存场所建设及储存安全要求》（DB11/T 755）第4.2.14条a）</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15.4.04.1</w:t>
            </w:r>
            <w:r>
              <w:rPr>
                <w:rFonts w:hint="eastAsia" w:ascii="仿宋_GB2312" w:hAnsi="仿宋_GB2312" w:cs="仿宋_GB2312"/>
                <w:color w:val="000000"/>
                <w:sz w:val="20"/>
                <w:szCs w:val="20"/>
                <w:lang w:val="en-US" w:eastAsia="zh-CN"/>
              </w:rPr>
              <w:t>52</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作业环境类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气瓶仓库门前未设置宽度不少于1m的装卸平台，未设置台阶或缓坡。</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气体经营单位的气瓶仓库门前应设置宽度不少于1m的装卸平台，并设置台阶或缓坡。</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lang w:eastAsia="zh-CN"/>
              </w:rPr>
            </w:pPr>
            <w:r>
              <w:rPr>
                <w:rFonts w:hint="eastAsia" w:ascii="仿宋_GB2312" w:hAnsi="仿宋_GB2312" w:cs="仿宋_GB2312"/>
                <w:color w:val="000000"/>
                <w:sz w:val="20"/>
                <w:szCs w:val="20"/>
              </w:rPr>
              <w:t>《危险化学品储存场所建设及储存安全要求》（DB11/T 755）第4.2.14条b）</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15.4.03.1</w:t>
            </w:r>
            <w:r>
              <w:rPr>
                <w:rFonts w:hint="eastAsia" w:ascii="仿宋_GB2312" w:hAnsi="仿宋_GB2312" w:cs="仿宋_GB2312"/>
                <w:color w:val="000000"/>
                <w:sz w:val="20"/>
                <w:szCs w:val="20"/>
                <w:lang w:val="en-US" w:eastAsia="zh-CN"/>
              </w:rPr>
              <w:t>53</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标志及标识类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仓库空瓶与实瓶未分区存放，未设置标识，未应设置防倾倒链或其他防倾倒装置。</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气体经营单位的气瓶仓库空瓶与实瓶应分区存放，并设置标识。气瓶区应设置防倾倒链或其他防倾倒装置。</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lang w:eastAsia="zh-CN"/>
              </w:rPr>
            </w:pPr>
            <w:r>
              <w:rPr>
                <w:rFonts w:hint="eastAsia" w:ascii="仿宋_GB2312" w:hAnsi="仿宋_GB2312" w:cs="仿宋_GB2312"/>
                <w:color w:val="000000"/>
                <w:sz w:val="20"/>
                <w:szCs w:val="20"/>
              </w:rPr>
              <w:t>《危险化学品储存场所建设及储存安全要求》（DB11/T 755）第4.2.14条c）</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15.2.03.1</w:t>
            </w:r>
            <w:r>
              <w:rPr>
                <w:rFonts w:hint="eastAsia" w:ascii="仿宋_GB2312" w:hAnsi="仿宋_GB2312" w:cs="仿宋_GB2312"/>
                <w:color w:val="000000"/>
                <w:sz w:val="20"/>
                <w:szCs w:val="20"/>
                <w:lang w:val="en-US" w:eastAsia="zh-CN"/>
              </w:rPr>
              <w:t>54</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辅助系统设备设施类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气瓶仓库对储存气体与空气的相对密度小于或等于0.75的气瓶仓库，库顶部未设置有通风的窗口；对储存气体与空气的相对密度大于0.75的气瓶仓库，靠近地面的墙体上未设置通风口，通风口未设有防虫网和防雨罩。</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气体经营单位的气瓶仓库对储存气体与空气的相对密度小于或等于0.75的气瓶仓库，库顶部应设置有通风的窗口；对储存气体与空气的相对密度大于0.75的气瓶仓库，靠近地面的墙体上应设置通风口，通风口应设有防虫网和防雨罩。</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lang w:eastAsia="zh-CN"/>
              </w:rPr>
            </w:pPr>
            <w:r>
              <w:rPr>
                <w:rFonts w:hint="eastAsia" w:ascii="仿宋_GB2312" w:hAnsi="仿宋_GB2312" w:cs="仿宋_GB2312"/>
                <w:color w:val="000000"/>
                <w:sz w:val="20"/>
                <w:szCs w:val="20"/>
              </w:rPr>
              <w:t>《危险化学品储存场所建设及储存安全要求》（DB11/T 755）第4.2.14条d）</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15.3.02.1</w:t>
            </w:r>
            <w:r>
              <w:rPr>
                <w:rFonts w:hint="eastAsia" w:ascii="仿宋_GB2312" w:hAnsi="仿宋_GB2312" w:cs="仿宋_GB2312"/>
                <w:color w:val="000000"/>
                <w:sz w:val="20"/>
                <w:szCs w:val="20"/>
                <w:lang w:val="en-US" w:eastAsia="zh-CN"/>
              </w:rPr>
              <w:t>55</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物品入库前未见专人进行检查，未确认便准许入库；</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入库危险化学品的品名、规格、数量与入库信息或单据不一致；</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入库物品的包装不完好，标志、安全标签不规范、清晰。</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物品入库前应有专人对以下内容进行检查，确认无误后，方准许入库：</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入库危险化学品的品名、规格、数量与入库信息或单据是否一致；</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入库物品的包装是否完好，标志、安全标签是否规范、清晰。</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lang w:eastAsia="zh-CN"/>
              </w:rPr>
            </w:pPr>
            <w:r>
              <w:rPr>
                <w:rFonts w:hint="eastAsia" w:ascii="仿宋_GB2312" w:hAnsi="仿宋_GB2312" w:cs="仿宋_GB2312"/>
                <w:color w:val="000000"/>
                <w:sz w:val="20"/>
                <w:szCs w:val="20"/>
              </w:rPr>
              <w:t>《危险化学品储存场所建设及储存安全要求》（DB11/T 755）第5.2.1条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15.4.04.1</w:t>
            </w:r>
            <w:r>
              <w:rPr>
                <w:rFonts w:hint="eastAsia" w:ascii="仿宋_GB2312" w:hAnsi="仿宋_GB2312" w:cs="仿宋_GB2312"/>
                <w:color w:val="000000"/>
                <w:sz w:val="20"/>
                <w:szCs w:val="20"/>
                <w:lang w:val="en-US" w:eastAsia="zh-CN"/>
              </w:rPr>
              <w:t>56</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场所环境类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作业环境类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库房储存物资未按照设计单位划定的堆装区域线和核定的存放量储存。</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库房储存物资应按照设计单位划定的堆装区域线和核定的存放量储存。</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lang w:eastAsia="zh-CN"/>
              </w:rPr>
            </w:pPr>
            <w:r>
              <w:rPr>
                <w:rFonts w:hint="eastAsia" w:ascii="仿宋_GB2312" w:hAnsi="仿宋_GB2312" w:cs="仿宋_GB2312"/>
                <w:color w:val="000000"/>
                <w:sz w:val="20"/>
                <w:szCs w:val="20"/>
              </w:rPr>
              <w:t>《危险化学品储存场所建设及储存安全要求》（DB11/T 755）第5.2.2条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15.2.03.1</w:t>
            </w:r>
            <w:r>
              <w:rPr>
                <w:rFonts w:hint="eastAsia" w:ascii="仿宋_GB2312" w:hAnsi="仿宋_GB2312" w:cs="仿宋_GB2312"/>
                <w:color w:val="000000"/>
                <w:sz w:val="20"/>
                <w:szCs w:val="20"/>
                <w:lang w:val="en-US" w:eastAsia="zh-CN"/>
              </w:rPr>
              <w:t>57</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辅助系统设备设施类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库房内设置货架未采用非燃烧材料制作；物品未置于托盘上并采取固定措施；货架及其周围未设置防护措施。</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库房内设置货架堆放物品时，货架应采用非燃烧材料制作，物品应置于托盘上并采取固定措施；装载应根据供应商规定的加载方式进行，单元荷载不应大于额定荷载；货架及其周围应设置防护措施，不应遮挡、占压消防设备、安全设施、安全标志和人员疏散通道。</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lang w:eastAsia="zh-CN"/>
              </w:rPr>
            </w:pPr>
            <w:r>
              <w:rPr>
                <w:rFonts w:hint="eastAsia" w:ascii="仿宋_GB2312" w:hAnsi="仿宋_GB2312" w:cs="仿宋_GB2312"/>
                <w:color w:val="000000"/>
                <w:sz w:val="20"/>
                <w:szCs w:val="20"/>
              </w:rPr>
              <w:t>《危险化学品储存场所建设及储存安全要求》（DB11/T 755）第5.2.3条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15.3.02.1</w:t>
            </w:r>
            <w:r>
              <w:rPr>
                <w:rFonts w:hint="eastAsia" w:ascii="仿宋_GB2312" w:hAnsi="仿宋_GB2312" w:cs="仿宋_GB2312"/>
                <w:color w:val="000000"/>
                <w:sz w:val="20"/>
                <w:szCs w:val="20"/>
                <w:lang w:val="en-US" w:eastAsia="zh-CN"/>
              </w:rPr>
              <w:t>58</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仓库的储存、装卸搬运与堆码、出入库作业、在库管理、个体防护、安全管理、人员与培训不</w:t>
            </w:r>
            <w:r>
              <w:rPr>
                <w:rFonts w:hint="eastAsia" w:ascii="仿宋_GB2312" w:hAnsi="仿宋_GB2312" w:cs="仿宋_GB2312"/>
                <w:color w:val="000000"/>
                <w:sz w:val="20"/>
                <w:szCs w:val="20"/>
                <w:lang w:eastAsia="zh-CN"/>
              </w:rPr>
              <w:t>符合要求</w:t>
            </w:r>
            <w:r>
              <w:rPr>
                <w:rFonts w:hint="eastAsia" w:ascii="仿宋_GB2312" w:hAnsi="仿宋_GB2312" w:cs="仿宋_GB2312"/>
                <w:color w:val="000000"/>
                <w:sz w:val="20"/>
                <w:szCs w:val="20"/>
              </w:rPr>
              <w:t>。</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危险化学品经营企业危险化学品仓库的储存、装卸搬运与堆码、出入库作业、在库管理、个体防护、安全管理、人员与培训应符合GB 15603的有关规定。</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lang w:eastAsia="zh-CN"/>
              </w:rPr>
            </w:pPr>
            <w:r>
              <w:rPr>
                <w:rFonts w:hint="eastAsia" w:ascii="仿宋_GB2312" w:hAnsi="仿宋_GB2312" w:cs="仿宋_GB2312"/>
                <w:color w:val="000000"/>
                <w:sz w:val="20"/>
                <w:szCs w:val="20"/>
              </w:rPr>
              <w:t>《危险化学品储存场所建设及储存安全要求》（DB11/T 755）第5.2.4条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15.3.02.1</w:t>
            </w:r>
            <w:r>
              <w:rPr>
                <w:rFonts w:hint="eastAsia" w:ascii="仿宋_GB2312" w:hAnsi="仿宋_GB2312" w:cs="仿宋_GB2312"/>
                <w:color w:val="000000"/>
                <w:sz w:val="20"/>
                <w:szCs w:val="20"/>
                <w:lang w:val="en-US" w:eastAsia="zh-CN"/>
              </w:rPr>
              <w:t>59</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气瓶仓库的作业人员、劳动保护、气瓶搬运及装卸、气瓶储存不</w:t>
            </w:r>
            <w:r>
              <w:rPr>
                <w:rFonts w:hint="eastAsia" w:ascii="仿宋_GB2312" w:hAnsi="仿宋_GB2312" w:cs="仿宋_GB2312"/>
                <w:color w:val="000000"/>
                <w:sz w:val="20"/>
                <w:szCs w:val="20"/>
                <w:lang w:eastAsia="zh-CN"/>
              </w:rPr>
              <w:t>符合要求</w:t>
            </w:r>
            <w:r>
              <w:rPr>
                <w:rFonts w:hint="eastAsia" w:ascii="仿宋_GB2312" w:hAnsi="仿宋_GB2312" w:cs="仿宋_GB2312"/>
                <w:color w:val="000000"/>
                <w:sz w:val="20"/>
                <w:szCs w:val="20"/>
              </w:rPr>
              <w:t>。</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气瓶仓库的作业人员、劳动保护、气瓶搬运及装卸、气瓶储存应符合GB/T 34525的要求。</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《气瓶搬运、装卸、储存和使用安全规定》（GB/T 34525-2017）;</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lang w:eastAsia="zh-CN"/>
              </w:rPr>
            </w:pPr>
            <w:r>
              <w:rPr>
                <w:rFonts w:hint="eastAsia" w:ascii="仿宋_GB2312" w:hAnsi="仿宋_GB2312" w:cs="仿宋_GB2312"/>
                <w:color w:val="000000"/>
                <w:sz w:val="20"/>
                <w:szCs w:val="20"/>
              </w:rPr>
              <w:t>《危险化学品储存场所建设及储存安全要求》（DB11/T 755）第5.2.7条</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rPr>
            </w:pPr>
          </w:p>
        </w:tc>
      </w:tr>
      <w:tr>
        <w:trPr>
          <w:trHeight w:val="455" w:hRule="atLeast"/>
          <w:jc w:val="center"/>
        </w:trPr>
        <w:tc>
          <w:tcPr>
            <w:tcW w:w="14567" w:type="dxa"/>
            <w:gridSpan w:val="7"/>
            <w:tcBorders>
              <w:tl2br w:val="nil"/>
              <w:tr2bl w:val="nil"/>
            </w:tcBorders>
            <w:shd w:val="clear" w:color="auto" w:fill="95B3D7"/>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b/>
                <w:color w:val="000000"/>
                <w:kern w:val="0"/>
                <w:sz w:val="20"/>
                <w:szCs w:val="20"/>
              </w:rPr>
            </w:pPr>
            <w:r>
              <w:rPr>
                <w:rFonts w:hint="eastAsia" w:ascii="仿宋_GB2312" w:hAnsi="仿宋_GB2312" w:cs="仿宋_GB2312"/>
                <w:b/>
                <w:color w:val="000000"/>
                <w:kern w:val="0"/>
                <w:sz w:val="20"/>
                <w:szCs w:val="20"/>
                <w:lang w:bidi="ar"/>
              </w:rPr>
              <w:t>危险化学品储罐（区）</w:t>
            </w: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15.2.03.1</w:t>
            </w:r>
            <w:r>
              <w:rPr>
                <w:rFonts w:hint="eastAsia" w:ascii="仿宋_GB2312" w:hAnsi="仿宋_GB2312" w:cs="仿宋_GB2312"/>
                <w:color w:val="000000"/>
                <w:sz w:val="20"/>
                <w:szCs w:val="20"/>
                <w:lang w:val="en-US" w:eastAsia="zh-CN"/>
              </w:rPr>
              <w:t>60</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设备设施及物料类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辅助系统设备设施类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储罐储存危险化学品时，其储存的要求不符合GB 50016、DB11/T 833等标准的要求。液氧站的储存要求不符合GB 50030要求。氢气的储存要求不符合GB 4962和GB 50177的要求。</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储罐储存危险化学品时，其储存的要求尚应符合GB 50016、DB11/T 833等标准的要求。液氧站的储存要求应符合GB 50030要求。氢气的储存要求尚应符合GB 4962和GB 50177的要求。</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第6.8.1、6.8.2条；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《建筑设计防火规范（2018年版）》（GB 50016-2014）;</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《危险化学品地上储罐区安全要求》（DB11/T 833-2019）;</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《氧气站设计规范》（GB 50030-2013）;</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《氢气使用安全技术规程》（GB 4962-2008）;</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lang w:eastAsia="zh-CN"/>
              </w:rPr>
            </w:pPr>
            <w:r>
              <w:rPr>
                <w:rFonts w:hint="eastAsia" w:ascii="仿宋_GB2312" w:hAnsi="仿宋_GB2312" w:cs="仿宋_GB2312"/>
                <w:color w:val="000000"/>
                <w:sz w:val="20"/>
                <w:szCs w:val="20"/>
              </w:rPr>
              <w:t>《氢气站设计规范》（GB 50177-2005）；</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rPr>
            </w:pPr>
          </w:p>
        </w:tc>
      </w:tr>
      <w:tr>
        <w:trPr>
          <w:trHeight w:val="347" w:hRule="atLeast"/>
          <w:jc w:val="center"/>
        </w:trPr>
        <w:tc>
          <w:tcPr>
            <w:tcW w:w="634"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default" w:ascii="仿宋_GB2312" w:hAnsi="仿宋_GB2312" w:eastAsia="仿宋_GB2312" w:cs="仿宋_GB2312"/>
                <w:color w:val="000000"/>
                <w:sz w:val="20"/>
                <w:szCs w:val="20"/>
                <w:lang w:val="en-US" w:eastAsia="zh-CN"/>
              </w:rPr>
            </w:pPr>
            <w:r>
              <w:rPr>
                <w:rFonts w:hint="eastAsia" w:ascii="仿宋_GB2312" w:hAnsi="仿宋_GB2312" w:cs="仿宋_GB2312"/>
                <w:color w:val="000000"/>
                <w:sz w:val="20"/>
                <w:szCs w:val="20"/>
              </w:rPr>
              <w:t>15.3.02.1</w:t>
            </w:r>
            <w:r>
              <w:rPr>
                <w:rFonts w:hint="eastAsia" w:ascii="仿宋_GB2312" w:hAnsi="仿宋_GB2312" w:cs="仿宋_GB2312"/>
                <w:color w:val="000000"/>
                <w:sz w:val="20"/>
                <w:szCs w:val="20"/>
                <w:lang w:val="en-US" w:eastAsia="zh-CN"/>
              </w:rPr>
              <w:t>61</w:t>
            </w:r>
          </w:p>
        </w:tc>
        <w:tc>
          <w:tcPr>
            <w:tcW w:w="963"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人员类</w:t>
            </w:r>
          </w:p>
        </w:tc>
        <w:tc>
          <w:tcPr>
            <w:tcW w:w="1012" w:type="dxa"/>
            <w:tcBorders>
              <w:tl2br w:val="nil"/>
              <w:tr2bl w:val="nil"/>
            </w:tcBorders>
            <w:noWrap w:val="0"/>
            <w:vAlign w:val="center"/>
          </w:tcPr>
          <w:p>
            <w:pPr>
              <w:suppressAutoHyphens/>
              <w:autoSpaceDE w:val="0"/>
              <w:autoSpaceDN w:val="0"/>
              <w:adjustRightInd w:val="0"/>
              <w:snapToGrid w:val="0"/>
              <w:spacing w:beforeLines="0" w:after="0" w:afterLines="0" w:line="240" w:lineRule="auto"/>
              <w:jc w:val="center"/>
              <w:rPr>
                <w:rFonts w:hint="eastAsia" w:ascii="仿宋_GB2312" w:hAnsi="仿宋_GB2312" w:cs="仿宋_GB2312"/>
                <w:color w:val="000000"/>
                <w:sz w:val="20"/>
                <w:szCs w:val="20"/>
              </w:rPr>
            </w:pPr>
            <w:r>
              <w:rPr>
                <w:rFonts w:hint="eastAsia" w:ascii="仿宋_GB2312" w:hAnsi="仿宋_GB2312" w:cs="仿宋_GB2312"/>
                <w:color w:val="000000"/>
                <w:sz w:val="20"/>
                <w:szCs w:val="20"/>
              </w:rPr>
              <w:t>操作行为类</w:t>
            </w:r>
          </w:p>
        </w:tc>
        <w:tc>
          <w:tcPr>
            <w:tcW w:w="3225"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固定式氢气储罐、氢气管道等设备，不满足GB 4962、GB 50516 的规定，未定期开展点检和维护保养并留存记录。</w:t>
            </w:r>
          </w:p>
        </w:tc>
        <w:tc>
          <w:tcPr>
            <w:tcW w:w="4038"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固定式氢气储罐、氢气管道等设备，除满足GB 4962、GB 50516 的规定外，还需定期开展点检和维护保养并留存记录。</w:t>
            </w:r>
          </w:p>
        </w:tc>
        <w:tc>
          <w:tcPr>
            <w:tcW w:w="4312" w:type="dxa"/>
            <w:tcBorders>
              <w:tl2br w:val="nil"/>
              <w:tr2bl w:val="nil"/>
            </w:tcBorders>
            <w:noWrap w:val="0"/>
            <w:vAlign w:val="center"/>
          </w:tcPr>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lang w:eastAsia="zh-CN"/>
              </w:rPr>
              <w:t>《实验室危险化学品安全管理要求 第3部分：科研单位》（DB11/T 1191.3-2024）</w:t>
            </w:r>
            <w:r>
              <w:rPr>
                <w:rFonts w:hint="eastAsia" w:ascii="仿宋_GB2312" w:hAnsi="仿宋_GB2312" w:cs="仿宋_GB2312"/>
                <w:color w:val="000000"/>
                <w:sz w:val="20"/>
                <w:szCs w:val="20"/>
              </w:rPr>
              <w:t>第7.3.10条；</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rPr>
            </w:pPr>
            <w:r>
              <w:rPr>
                <w:rFonts w:hint="eastAsia" w:ascii="仿宋_GB2312" w:hAnsi="仿宋_GB2312" w:cs="仿宋_GB2312"/>
                <w:color w:val="000000"/>
                <w:sz w:val="20"/>
                <w:szCs w:val="20"/>
              </w:rPr>
              <w:t>《氢气使用安全技术规程》（GB 4962-2008）；</w:t>
            </w:r>
          </w:p>
          <w:p>
            <w:pPr>
              <w:suppressAutoHyphens/>
              <w:autoSpaceDE w:val="0"/>
              <w:autoSpaceDN w:val="0"/>
              <w:adjustRightInd w:val="0"/>
              <w:snapToGrid w:val="0"/>
              <w:spacing w:beforeLines="0" w:after="0" w:afterLines="0" w:line="240" w:lineRule="auto"/>
              <w:rPr>
                <w:rFonts w:hint="eastAsia" w:ascii="仿宋_GB2312" w:hAnsi="仿宋_GB2312" w:cs="仿宋_GB2312"/>
                <w:color w:val="000000"/>
                <w:sz w:val="20"/>
                <w:szCs w:val="20"/>
                <w:lang w:eastAsia="zh-CN"/>
              </w:rPr>
            </w:pPr>
            <w:r>
              <w:rPr>
                <w:rFonts w:hint="eastAsia" w:ascii="仿宋_GB2312" w:hAnsi="仿宋_GB2312" w:cs="仿宋_GB2312"/>
                <w:color w:val="000000"/>
                <w:sz w:val="20"/>
                <w:szCs w:val="20"/>
              </w:rPr>
              <w:t>《加氢站技术规范（2021年版）》（GB 50516-2010）</w:t>
            </w:r>
          </w:p>
        </w:tc>
        <w:tc>
          <w:tcPr>
            <w:tcW w:w="383" w:type="dxa"/>
            <w:tcBorders>
              <w:tl2br w:val="nil"/>
              <w:tr2bl w:val="nil"/>
            </w:tcBorders>
            <w:noWrap w:val="0"/>
            <w:vAlign w:val="top"/>
          </w:tcPr>
          <w:p>
            <w:pPr>
              <w:widowControl/>
              <w:suppressAutoHyphens/>
              <w:adjustRightInd w:val="0"/>
              <w:snapToGrid w:val="0"/>
              <w:spacing w:beforeLines="0" w:after="0" w:afterLines="0" w:line="240" w:lineRule="auto"/>
              <w:jc w:val="center"/>
              <w:rPr>
                <w:rFonts w:hint="eastAsia" w:ascii="仿宋_GB2312" w:hAnsi="仿宋_GB2312" w:cs="仿宋_GB2312"/>
                <w:b/>
                <w:color w:val="000000"/>
                <w:kern w:val="0"/>
                <w:sz w:val="20"/>
                <w:szCs w:val="20"/>
              </w:rPr>
            </w:pPr>
          </w:p>
        </w:tc>
      </w:tr>
      <w:tr>
        <w:trPr>
          <w:trHeight w:val="381" w:hRule="atLeast"/>
          <w:jc w:val="center"/>
        </w:trPr>
        <w:tc>
          <w:tcPr>
            <w:tcW w:w="14567" w:type="dxa"/>
            <w:gridSpan w:val="7"/>
            <w:tcBorders>
              <w:tl2br w:val="nil"/>
              <w:tr2bl w:val="nil"/>
            </w:tcBorders>
            <w:noWrap w:val="0"/>
            <w:vAlign w:val="top"/>
          </w:tcPr>
          <w:p>
            <w:pPr>
              <w:pStyle w:val="19"/>
              <w:adjustRightInd w:val="0"/>
              <w:snapToGrid w:val="0"/>
              <w:spacing w:before="0" w:beforeLines="0" w:after="0" w:afterLines="0" w:line="240" w:lineRule="auto"/>
              <w:outlineLvl w:val="9"/>
              <w:rPr>
                <w:rFonts w:hint="eastAsia" w:ascii="仿宋_GB2312" w:hAnsi="仿宋_GB2312" w:eastAsia="仿宋_GB2312" w:cs="仿宋_GB2312"/>
                <w:color w:val="000000"/>
                <w:kern w:val="2"/>
                <w:sz w:val="20"/>
                <w:szCs w:val="20"/>
              </w:rPr>
            </w:pPr>
            <w:r>
              <w:rPr>
                <w:rFonts w:hint="eastAsia" w:ascii="仿宋_GB2312" w:hAnsi="仿宋_GB2312" w:eastAsia="仿宋_GB2312" w:cs="仿宋_GB2312"/>
                <w:color w:val="000000"/>
                <w:kern w:val="2"/>
                <w:sz w:val="20"/>
                <w:szCs w:val="20"/>
              </w:rPr>
              <w:t>注：★1：</w:t>
            </w:r>
            <w:r>
              <w:rPr>
                <w:rFonts w:hint="eastAsia" w:ascii="仿宋_GB2312" w:hAnsi="仿宋_GB2312" w:eastAsia="仿宋_GB2312" w:cs="仿宋_GB2312"/>
                <w:color w:val="000000"/>
                <w:kern w:val="2"/>
                <w:sz w:val="20"/>
                <w:szCs w:val="20"/>
                <w:lang w:eastAsia="zh-CN"/>
              </w:rPr>
              <w:t>《化工和危险化学品企业重大生产安全事故隐患判定准则（征求意见稿）》（化工和医药制造</w:t>
            </w:r>
            <w:r>
              <w:rPr>
                <w:rFonts w:hint="eastAsia" w:ascii="仿宋_GB2312" w:hAnsi="仿宋_GB2312" w:eastAsia="仿宋_GB2312" w:cs="仿宋_GB2312"/>
                <w:color w:val="000000"/>
                <w:kern w:val="2"/>
                <w:sz w:val="20"/>
                <w:szCs w:val="20"/>
              </w:rPr>
              <w:t>企业</w:t>
            </w:r>
            <w:r>
              <w:rPr>
                <w:rFonts w:hint="eastAsia" w:ascii="仿宋_GB2312" w:hAnsi="仿宋_GB2312" w:eastAsia="仿宋_GB2312" w:cs="仿宋_GB2312"/>
                <w:color w:val="000000"/>
                <w:kern w:val="2"/>
                <w:sz w:val="20"/>
                <w:szCs w:val="20"/>
                <w:lang w:eastAsia="zh-CN"/>
              </w:rPr>
              <w:t>）</w:t>
            </w:r>
            <w:r>
              <w:rPr>
                <w:rFonts w:hint="eastAsia" w:ascii="仿宋_GB2312" w:hAnsi="仿宋_GB2312" w:eastAsia="仿宋_GB2312" w:cs="仿宋_GB2312"/>
                <w:color w:val="000000"/>
                <w:kern w:val="2"/>
                <w:sz w:val="20"/>
                <w:szCs w:val="20"/>
              </w:rPr>
              <w:t>；</w:t>
            </w:r>
          </w:p>
          <w:p>
            <w:pPr>
              <w:pStyle w:val="19"/>
              <w:adjustRightInd w:val="0"/>
              <w:snapToGrid w:val="0"/>
              <w:spacing w:before="0" w:beforeLines="0" w:after="0" w:afterLines="0" w:line="240" w:lineRule="auto"/>
              <w:ind w:firstLine="400" w:firstLineChars="200"/>
              <w:outlineLvl w:val="9"/>
              <w:rPr>
                <w:rFonts w:hint="eastAsia" w:ascii="仿宋_GB2312" w:hAnsi="黑体" w:eastAsia="仿宋_GB2312"/>
                <w:sz w:val="20"/>
                <w:szCs w:val="20"/>
                <w:lang w:eastAsia="zh-CN"/>
              </w:rPr>
            </w:pPr>
            <w:r>
              <w:rPr>
                <w:rFonts w:hint="eastAsia" w:ascii="仿宋_GB2312" w:hAnsi="仿宋_GB2312" w:eastAsia="仿宋_GB2312" w:cs="仿宋_GB2312"/>
                <w:color w:val="000000"/>
                <w:kern w:val="2"/>
                <w:sz w:val="20"/>
                <w:szCs w:val="20"/>
              </w:rPr>
              <w:t>★2：《教育系统重大事故隐患判定指南》</w:t>
            </w:r>
            <w:r>
              <w:rPr>
                <w:rFonts w:hint="eastAsia" w:ascii="仿宋_GB2312" w:hAnsi="仿宋_GB2312" w:eastAsia="仿宋_GB2312" w:cs="仿宋_GB2312"/>
                <w:color w:val="000000"/>
                <w:kern w:val="2"/>
                <w:sz w:val="20"/>
                <w:szCs w:val="20"/>
                <w:lang w:eastAsia="zh-CN"/>
              </w:rPr>
              <w:t>。</w:t>
            </w:r>
          </w:p>
        </w:tc>
      </w:tr>
    </w:tbl>
    <w:p>
      <w:pPr>
        <w:pStyle w:val="2"/>
        <w:rPr>
          <w:rFonts w:hint="eastAsia" w:ascii="新宋体" w:hAnsi="新宋体" w:eastAsia="新宋体" w:cs="新宋体"/>
          <w:sz w:val="30"/>
          <w:szCs w:val="30"/>
        </w:rPr>
      </w:pPr>
    </w:p>
    <w:sectPr>
      <w:pgSz w:w="16838" w:h="11906" w:orient="landscape"/>
      <w:pgMar w:top="1134" w:right="1134" w:bottom="1134" w:left="1134" w:header="851" w:footer="992" w:gutter="0"/>
      <w:cols w:space="0" w:num="1"/>
      <w:rtlGutter w:val="0"/>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新宋体">
    <w:altName w:val="方正书宋_GBK"/>
    <w:panose1 w:val="02010609030101010101"/>
    <w:charset w:val="86"/>
    <w:family w:val="auto"/>
    <w:pitch w:val="default"/>
    <w:sig w:usb0="00000000" w:usb1="00000000" w:usb2="0000000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隶变-简">
    <w:panose1 w:val="02010600040101010101"/>
    <w:charset w:val="86"/>
    <w:family w:val="auto"/>
    <w:pitch w:val="default"/>
    <w:sig w:usb0="80000287" w:usb1="280F3C52" w:usb2="00000016" w:usb3="00000000" w:csb0="0004001F" w:csb1="00000000"/>
  </w:font>
  <w:font w:name="儷黑 Pro">
    <w:panose1 w:val="020B0500000000000000"/>
    <w:charset w:val="88"/>
    <w:family w:val="auto"/>
    <w:pitch w:val="default"/>
    <w:sig w:usb0="80000001" w:usb1="28091800" w:usb2="00000016" w:usb3="00000000" w:csb0="00100000" w:csb1="00000000"/>
  </w:font>
  <w:font w:name="华文宋体">
    <w:panose1 w:val="02010600040101010101"/>
    <w:charset w:val="86"/>
    <w:family w:val="auto"/>
    <w:pitch w:val="default"/>
    <w:sig w:usb0="80000287" w:usb1="280F3C52" w:usb2="00000016" w:usb3="00000000" w:csb0="0004001F" w:csb1="00000000"/>
  </w:font>
  <w:font w:name="Kaiti TC Regular">
    <w:panose1 w:val="02010600040101010101"/>
    <w:charset w:val="86"/>
    <w:family w:val="auto"/>
    <w:pitch w:val="default"/>
    <w:sig w:usb0="80000287" w:usb1="280F3C52" w:usb2="00000016" w:usb3="00000000" w:csb0="0004001F" w:csb1="00000000"/>
  </w:font>
  <w:font w:name="Kaiti SC Regular">
    <w:panose1 w:val="02010600040101010101"/>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2"/>
  <w:bordersDoNotSurroundHeader w:val="0"/>
  <w:bordersDoNotSurroundFooter w:val="0"/>
  <w:documentProtection w:enforcement="0"/>
  <w:defaultTabStop w:val="420"/>
  <w:drawingGridVerticalSpacing w:val="160"/>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F63"/>
    <w:rsid w:val="000417BC"/>
    <w:rsid w:val="00043085"/>
    <w:rsid w:val="00083A81"/>
    <w:rsid w:val="000C6ACE"/>
    <w:rsid w:val="000E5801"/>
    <w:rsid w:val="000F1DD3"/>
    <w:rsid w:val="001357DE"/>
    <w:rsid w:val="00150B9D"/>
    <w:rsid w:val="001625E8"/>
    <w:rsid w:val="001A2F26"/>
    <w:rsid w:val="001B1AC2"/>
    <w:rsid w:val="001E76FE"/>
    <w:rsid w:val="001F310C"/>
    <w:rsid w:val="00231541"/>
    <w:rsid w:val="00255522"/>
    <w:rsid w:val="00274A16"/>
    <w:rsid w:val="00277C95"/>
    <w:rsid w:val="002806D8"/>
    <w:rsid w:val="00284718"/>
    <w:rsid w:val="002B7EB7"/>
    <w:rsid w:val="002C16B4"/>
    <w:rsid w:val="002C2069"/>
    <w:rsid w:val="002C7582"/>
    <w:rsid w:val="002D20E0"/>
    <w:rsid w:val="002D5108"/>
    <w:rsid w:val="00301D4F"/>
    <w:rsid w:val="0031289A"/>
    <w:rsid w:val="003160F4"/>
    <w:rsid w:val="00346644"/>
    <w:rsid w:val="003540BF"/>
    <w:rsid w:val="003708F7"/>
    <w:rsid w:val="00384262"/>
    <w:rsid w:val="00391AD0"/>
    <w:rsid w:val="003A6958"/>
    <w:rsid w:val="003B7567"/>
    <w:rsid w:val="0040026C"/>
    <w:rsid w:val="00403281"/>
    <w:rsid w:val="00436BE8"/>
    <w:rsid w:val="00450C56"/>
    <w:rsid w:val="0045478C"/>
    <w:rsid w:val="0045782D"/>
    <w:rsid w:val="0046487A"/>
    <w:rsid w:val="004C7471"/>
    <w:rsid w:val="005110C6"/>
    <w:rsid w:val="00525D11"/>
    <w:rsid w:val="00562E67"/>
    <w:rsid w:val="005C2A3C"/>
    <w:rsid w:val="00600AA4"/>
    <w:rsid w:val="00604FA0"/>
    <w:rsid w:val="00655991"/>
    <w:rsid w:val="0068502C"/>
    <w:rsid w:val="006A2B4A"/>
    <w:rsid w:val="006A385D"/>
    <w:rsid w:val="006A38D1"/>
    <w:rsid w:val="006C0500"/>
    <w:rsid w:val="006E1C44"/>
    <w:rsid w:val="006E2AAA"/>
    <w:rsid w:val="006F35B9"/>
    <w:rsid w:val="00704A88"/>
    <w:rsid w:val="0070744B"/>
    <w:rsid w:val="007100D3"/>
    <w:rsid w:val="00730DF6"/>
    <w:rsid w:val="00731A96"/>
    <w:rsid w:val="00766D0D"/>
    <w:rsid w:val="00772608"/>
    <w:rsid w:val="00786836"/>
    <w:rsid w:val="007C4522"/>
    <w:rsid w:val="007D033A"/>
    <w:rsid w:val="007E0873"/>
    <w:rsid w:val="007F5624"/>
    <w:rsid w:val="00825176"/>
    <w:rsid w:val="00836DFC"/>
    <w:rsid w:val="00850F97"/>
    <w:rsid w:val="00857E75"/>
    <w:rsid w:val="008B4E96"/>
    <w:rsid w:val="008C6CA4"/>
    <w:rsid w:val="008D7A15"/>
    <w:rsid w:val="008F1381"/>
    <w:rsid w:val="008F1729"/>
    <w:rsid w:val="008F2BA3"/>
    <w:rsid w:val="008F41FF"/>
    <w:rsid w:val="00910E1D"/>
    <w:rsid w:val="00915D08"/>
    <w:rsid w:val="00941158"/>
    <w:rsid w:val="00944594"/>
    <w:rsid w:val="00955A00"/>
    <w:rsid w:val="00964C2E"/>
    <w:rsid w:val="00985BB6"/>
    <w:rsid w:val="00990C30"/>
    <w:rsid w:val="00995E40"/>
    <w:rsid w:val="00995F06"/>
    <w:rsid w:val="00996E00"/>
    <w:rsid w:val="009B2248"/>
    <w:rsid w:val="009B29D8"/>
    <w:rsid w:val="009C3C26"/>
    <w:rsid w:val="00A068EA"/>
    <w:rsid w:val="00A33CC4"/>
    <w:rsid w:val="00A36D35"/>
    <w:rsid w:val="00A42F60"/>
    <w:rsid w:val="00A44A6E"/>
    <w:rsid w:val="00A4580D"/>
    <w:rsid w:val="00A508EA"/>
    <w:rsid w:val="00A51A80"/>
    <w:rsid w:val="00A6095B"/>
    <w:rsid w:val="00A677DF"/>
    <w:rsid w:val="00A72778"/>
    <w:rsid w:val="00A85483"/>
    <w:rsid w:val="00A9624C"/>
    <w:rsid w:val="00AA372D"/>
    <w:rsid w:val="00AA68B8"/>
    <w:rsid w:val="00AB6F29"/>
    <w:rsid w:val="00AC13D6"/>
    <w:rsid w:val="00B139B9"/>
    <w:rsid w:val="00B27093"/>
    <w:rsid w:val="00B55369"/>
    <w:rsid w:val="00B75CAB"/>
    <w:rsid w:val="00B80BB3"/>
    <w:rsid w:val="00B916E5"/>
    <w:rsid w:val="00BA190B"/>
    <w:rsid w:val="00BD34B2"/>
    <w:rsid w:val="00BD57F0"/>
    <w:rsid w:val="00BD5F0A"/>
    <w:rsid w:val="00BE34D1"/>
    <w:rsid w:val="00BF4980"/>
    <w:rsid w:val="00C40CF1"/>
    <w:rsid w:val="00C47211"/>
    <w:rsid w:val="00C64C07"/>
    <w:rsid w:val="00C71F0D"/>
    <w:rsid w:val="00C81396"/>
    <w:rsid w:val="00CB1CFC"/>
    <w:rsid w:val="00CB4728"/>
    <w:rsid w:val="00CB6E05"/>
    <w:rsid w:val="00CB7D34"/>
    <w:rsid w:val="00CE1953"/>
    <w:rsid w:val="00CF2C1A"/>
    <w:rsid w:val="00CF5957"/>
    <w:rsid w:val="00D8554A"/>
    <w:rsid w:val="00D8697E"/>
    <w:rsid w:val="00D968AA"/>
    <w:rsid w:val="00DA45A7"/>
    <w:rsid w:val="00DC62EC"/>
    <w:rsid w:val="00E05C6B"/>
    <w:rsid w:val="00E32E1A"/>
    <w:rsid w:val="00E73716"/>
    <w:rsid w:val="00E83B57"/>
    <w:rsid w:val="00E84029"/>
    <w:rsid w:val="00E87994"/>
    <w:rsid w:val="00E9387C"/>
    <w:rsid w:val="00EB1B74"/>
    <w:rsid w:val="00F17F63"/>
    <w:rsid w:val="00F30FB3"/>
    <w:rsid w:val="00F414F1"/>
    <w:rsid w:val="00F47DE0"/>
    <w:rsid w:val="00F63B16"/>
    <w:rsid w:val="00F71BA2"/>
    <w:rsid w:val="00F7361F"/>
    <w:rsid w:val="00F813C7"/>
    <w:rsid w:val="00F821E5"/>
    <w:rsid w:val="00F97B65"/>
    <w:rsid w:val="00FA207B"/>
    <w:rsid w:val="00FA2FFD"/>
    <w:rsid w:val="00FD3A59"/>
    <w:rsid w:val="00FE5C1D"/>
    <w:rsid w:val="04A31A22"/>
    <w:rsid w:val="059365E9"/>
    <w:rsid w:val="089F27CE"/>
    <w:rsid w:val="0F350F5F"/>
    <w:rsid w:val="109545FD"/>
    <w:rsid w:val="12A024D3"/>
    <w:rsid w:val="145D3411"/>
    <w:rsid w:val="17825E60"/>
    <w:rsid w:val="19AE6C76"/>
    <w:rsid w:val="1B796FFC"/>
    <w:rsid w:val="1E5917DB"/>
    <w:rsid w:val="1E7A4110"/>
    <w:rsid w:val="21FD6A1A"/>
    <w:rsid w:val="24F25900"/>
    <w:rsid w:val="2C147D96"/>
    <w:rsid w:val="2C9D221D"/>
    <w:rsid w:val="2E673D23"/>
    <w:rsid w:val="327145F1"/>
    <w:rsid w:val="370760A3"/>
    <w:rsid w:val="381A40BA"/>
    <w:rsid w:val="38DC0125"/>
    <w:rsid w:val="38E27887"/>
    <w:rsid w:val="3C547639"/>
    <w:rsid w:val="3EF67925"/>
    <w:rsid w:val="447862E1"/>
    <w:rsid w:val="45BD1C3B"/>
    <w:rsid w:val="4DB925AF"/>
    <w:rsid w:val="54460745"/>
    <w:rsid w:val="5A1B29B5"/>
    <w:rsid w:val="5CE341C9"/>
    <w:rsid w:val="5F996E51"/>
    <w:rsid w:val="60F103B0"/>
    <w:rsid w:val="64B8100F"/>
    <w:rsid w:val="64DA7090"/>
    <w:rsid w:val="694C330D"/>
    <w:rsid w:val="6C2650A1"/>
    <w:rsid w:val="6FA23267"/>
    <w:rsid w:val="6FEBCE36"/>
    <w:rsid w:val="71812073"/>
    <w:rsid w:val="71C107ED"/>
    <w:rsid w:val="71E72330"/>
    <w:rsid w:val="74CB7279"/>
    <w:rsid w:val="75520AA9"/>
    <w:rsid w:val="766036AD"/>
    <w:rsid w:val="77B00C6E"/>
    <w:rsid w:val="77EC2A18"/>
    <w:rsid w:val="78AE0440"/>
    <w:rsid w:val="7B844689"/>
    <w:rsid w:val="7BFDE5F2"/>
    <w:rsid w:val="7E9F310E"/>
    <w:rsid w:val="FBFF39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qFormat/>
    <w:uiPriority w:val="9"/>
    <w:pPr>
      <w:widowControl/>
      <w:spacing w:before="100" w:beforeAutospacing="1" w:after="100" w:afterAutospacing="1"/>
      <w:jc w:val="left"/>
      <w:outlineLvl w:val="1"/>
    </w:pPr>
    <w:rPr>
      <w:rFonts w:ascii="宋体" w:hAnsi="宋体" w:cs="宋体"/>
      <w:b/>
      <w:bCs/>
      <w:kern w:val="0"/>
      <w:sz w:val="36"/>
      <w:szCs w:val="36"/>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before="0" w:after="140" w:line="276" w:lineRule="auto"/>
    </w:pPr>
  </w:style>
  <w:style w:type="paragraph" w:styleId="5">
    <w:name w:val="Normal Indent"/>
    <w:basedOn w:val="1"/>
    <w:next w:val="6"/>
    <w:qFormat/>
    <w:uiPriority w:val="0"/>
    <w:pPr>
      <w:spacing w:line="240" w:lineRule="auto"/>
      <w:ind w:firstLine="420"/>
    </w:pPr>
    <w:rPr>
      <w:rFonts w:eastAsia="宋体" w:cs="Times New Roman"/>
      <w:sz w:val="21"/>
      <w:szCs w:val="24"/>
    </w:rPr>
  </w:style>
  <w:style w:type="paragraph" w:styleId="6">
    <w:name w:val="Body Text Indent"/>
    <w:basedOn w:val="1"/>
    <w:next w:val="5"/>
    <w:qFormat/>
    <w:uiPriority w:val="0"/>
    <w:pPr>
      <w:spacing w:after="120"/>
      <w:ind w:left="420" w:leftChars="200"/>
    </w:pPr>
  </w:style>
  <w:style w:type="paragraph" w:styleId="7">
    <w:name w:val="Balloon Text"/>
    <w:basedOn w:val="1"/>
    <w:link w:val="17"/>
    <w:semiHidden/>
    <w:unhideWhenUsed/>
    <w:qFormat/>
    <w:uiPriority w:val="99"/>
    <w:rPr>
      <w:sz w:val="18"/>
      <w:szCs w:val="18"/>
    </w:rPr>
  </w:style>
  <w:style w:type="paragraph" w:styleId="8">
    <w:name w:val="footer"/>
    <w:basedOn w:val="1"/>
    <w:link w:val="16"/>
    <w:unhideWhenUsed/>
    <w:qFormat/>
    <w:uiPriority w:val="99"/>
    <w:pPr>
      <w:tabs>
        <w:tab w:val="center" w:pos="4153"/>
        <w:tab w:val="right" w:pos="8306"/>
      </w:tabs>
      <w:snapToGrid w:val="0"/>
      <w:jc w:val="left"/>
    </w:pPr>
    <w:rPr>
      <w:sz w:val="18"/>
      <w:szCs w:val="18"/>
    </w:rPr>
  </w:style>
  <w:style w:type="paragraph" w:styleId="9">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1">
    <w:name w:val="Body Text First Indent 2"/>
    <w:basedOn w:val="6"/>
    <w:qFormat/>
    <w:uiPriority w:val="0"/>
    <w:pPr>
      <w:spacing w:after="0"/>
      <w:ind w:firstLine="420" w:firstLineChars="200"/>
    </w:pPr>
  </w:style>
  <w:style w:type="character" w:styleId="14">
    <w:name w:val="Strong"/>
    <w:basedOn w:val="13"/>
    <w:qFormat/>
    <w:uiPriority w:val="22"/>
    <w:rPr>
      <w:b/>
    </w:rPr>
  </w:style>
  <w:style w:type="character" w:customStyle="1" w:styleId="15">
    <w:name w:val="页眉 字符"/>
    <w:basedOn w:val="13"/>
    <w:link w:val="9"/>
    <w:qFormat/>
    <w:uiPriority w:val="99"/>
    <w:rPr>
      <w:sz w:val="18"/>
      <w:szCs w:val="18"/>
    </w:rPr>
  </w:style>
  <w:style w:type="character" w:customStyle="1" w:styleId="16">
    <w:name w:val="页脚 字符"/>
    <w:basedOn w:val="13"/>
    <w:link w:val="8"/>
    <w:qFormat/>
    <w:uiPriority w:val="99"/>
    <w:rPr>
      <w:sz w:val="18"/>
      <w:szCs w:val="18"/>
    </w:rPr>
  </w:style>
  <w:style w:type="character" w:customStyle="1" w:styleId="17">
    <w:name w:val="批注框文本 字符"/>
    <w:basedOn w:val="13"/>
    <w:link w:val="7"/>
    <w:semiHidden/>
    <w:qFormat/>
    <w:uiPriority w:val="99"/>
    <w:rPr>
      <w:sz w:val="18"/>
      <w:szCs w:val="18"/>
    </w:rPr>
  </w:style>
  <w:style w:type="paragraph" w:styleId="18">
    <w:name w:val="List Paragraph"/>
    <w:basedOn w:val="1"/>
    <w:qFormat/>
    <w:uiPriority w:val="99"/>
    <w:pPr>
      <w:ind w:firstLine="420" w:firstLineChars="200"/>
    </w:pPr>
  </w:style>
  <w:style w:type="paragraph" w:customStyle="1" w:styleId="19">
    <w:name w:val="一级条标题"/>
    <w:next w:val="1"/>
    <w:qFormat/>
    <w:uiPriority w:val="0"/>
    <w:pPr>
      <w:spacing w:before="156" w:beforeLines="50" w:after="156" w:afterLines="50" w:line="278" w:lineRule="auto"/>
      <w:outlineLvl w:val="2"/>
    </w:pPr>
    <w:rPr>
      <w:rFonts w:ascii="黑体" w:hAnsi="Times New Roman" w:eastAsia="黑体" w:cs="Times New Roman"/>
      <w:sz w:val="21"/>
      <w:szCs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35</Pages>
  <Words>9884</Words>
  <Characters>11950</Characters>
  <Lines>4</Lines>
  <Paragraphs>1</Paragraphs>
  <TotalTime>4</TotalTime>
  <ScaleCrop>false</ScaleCrop>
  <LinksUpToDate>false</LinksUpToDate>
  <CharactersWithSpaces>12209</CharactersWithSpaces>
  <Application>WPS Office_6.5.2.8766_F1E327BC-269C-435d-A152-05C5408002CA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2024-07-10T16:10:00Z</dcterms:created>
  <dc:creator>wuyou</dc:creator>
  <cp:lastModifiedBy>微信用户</cp:lastModifiedBy>
  <cp:lastPrinted>2022-07-14T21:07:00Z</cp:lastPrinted>
  <dcterms:modified xsi:type="dcterms:W3CDTF">2026-03-27T09:38:29Z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7334656ED901E1F695DFC569C62306D4_43</vt:lpwstr>
  </property>
  <property fmtid="{D5CDD505-2E9C-101B-9397-08002B2CF9AE}" pid="4" name="KSOTemplateDocerSaveRecord">
    <vt:lpwstr>eyJoZGlkIjoiMzE1NzdhMDkxOWEyZDAyZTM5ZDU5MTBhYmFkYzcwNjkiLCJ1c2VySWQiOiIzODAyMzcxNjkifQ==</vt:lpwstr>
  </property>
</Properties>
</file>